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2C" w:rsidRPr="00CB7A2C" w:rsidRDefault="00CB7A2C" w:rsidP="00CB7A2C">
      <w:pPr>
        <w:jc w:val="center"/>
        <w:rPr>
          <w:b/>
          <w:sz w:val="32"/>
          <w:szCs w:val="32"/>
        </w:rPr>
      </w:pPr>
      <w:r w:rsidRPr="00CB7A2C">
        <w:rPr>
          <w:rFonts w:hint="eastAsia"/>
          <w:b/>
          <w:sz w:val="32"/>
          <w:szCs w:val="32"/>
        </w:rPr>
        <w:t>北京大学挑战杯系列赛事</w:t>
      </w:r>
      <w:r w:rsidRPr="00CB7A2C">
        <w:rPr>
          <w:b/>
          <w:sz w:val="32"/>
          <w:szCs w:val="32"/>
        </w:rPr>
        <w:t>法学院</w:t>
      </w:r>
      <w:r w:rsidR="001A2E7F">
        <w:rPr>
          <w:rFonts w:hint="eastAsia"/>
          <w:b/>
          <w:sz w:val="32"/>
          <w:szCs w:val="32"/>
        </w:rPr>
        <w:t>招标课题</w:t>
      </w:r>
    </w:p>
    <w:tbl>
      <w:tblPr>
        <w:tblStyle w:val="a3"/>
        <w:tblW w:w="8362" w:type="dxa"/>
        <w:tblLook w:val="04A0" w:firstRow="1" w:lastRow="0" w:firstColumn="1" w:lastColumn="0" w:noHBand="0" w:noVBand="1"/>
      </w:tblPr>
      <w:tblGrid>
        <w:gridCol w:w="1961"/>
        <w:gridCol w:w="2542"/>
        <w:gridCol w:w="2976"/>
        <w:gridCol w:w="872"/>
        <w:gridCol w:w="11"/>
      </w:tblGrid>
      <w:tr w:rsidR="005260E0" w:rsidTr="00161257">
        <w:trPr>
          <w:trHeight w:val="165"/>
        </w:trPr>
        <w:tc>
          <w:tcPr>
            <w:tcW w:w="1961" w:type="dxa"/>
          </w:tcPr>
          <w:p w:rsidR="005260E0" w:rsidRPr="00B618B9" w:rsidRDefault="005260E0" w:rsidP="00D149FA">
            <w:pPr>
              <w:jc w:val="center"/>
              <w:rPr>
                <w:sz w:val="24"/>
                <w:szCs w:val="24"/>
              </w:rPr>
            </w:pPr>
          </w:p>
          <w:p w:rsidR="005260E0" w:rsidRPr="00CB7A2C" w:rsidRDefault="005260E0" w:rsidP="00D149FA">
            <w:pPr>
              <w:jc w:val="center"/>
              <w:rPr>
                <w:sz w:val="24"/>
                <w:szCs w:val="24"/>
              </w:rPr>
            </w:pPr>
            <w:r w:rsidRPr="00CB7A2C">
              <w:rPr>
                <w:rFonts w:hint="eastAsia"/>
                <w:sz w:val="24"/>
                <w:szCs w:val="24"/>
              </w:rPr>
              <w:t>课题名称</w:t>
            </w:r>
          </w:p>
        </w:tc>
        <w:tc>
          <w:tcPr>
            <w:tcW w:w="2542" w:type="dxa"/>
          </w:tcPr>
          <w:p w:rsidR="005260E0" w:rsidRDefault="005260E0" w:rsidP="00D149FA">
            <w:pPr>
              <w:jc w:val="center"/>
              <w:rPr>
                <w:sz w:val="24"/>
              </w:rPr>
            </w:pPr>
          </w:p>
          <w:p w:rsidR="005260E0" w:rsidRDefault="005260E0" w:rsidP="00D149FA">
            <w:pPr>
              <w:jc w:val="center"/>
            </w:pPr>
            <w:r w:rsidRPr="00CB7A2C">
              <w:rPr>
                <w:rFonts w:hint="eastAsia"/>
                <w:sz w:val="24"/>
              </w:rPr>
              <w:t>课题内容及难点提示</w:t>
            </w:r>
          </w:p>
        </w:tc>
        <w:tc>
          <w:tcPr>
            <w:tcW w:w="2976" w:type="dxa"/>
          </w:tcPr>
          <w:p w:rsidR="005260E0" w:rsidRDefault="005260E0" w:rsidP="00D149FA">
            <w:pPr>
              <w:rPr>
                <w:sz w:val="24"/>
              </w:rPr>
            </w:pPr>
          </w:p>
          <w:p w:rsidR="005260E0" w:rsidRDefault="005260E0" w:rsidP="00D149FA">
            <w:r w:rsidRPr="00CB7A2C">
              <w:rPr>
                <w:rFonts w:hint="eastAsia"/>
                <w:sz w:val="24"/>
              </w:rPr>
              <w:t>课题研究方法</w:t>
            </w:r>
          </w:p>
        </w:tc>
        <w:tc>
          <w:tcPr>
            <w:tcW w:w="883" w:type="dxa"/>
            <w:gridSpan w:val="2"/>
          </w:tcPr>
          <w:p w:rsidR="005260E0" w:rsidRDefault="005260E0" w:rsidP="00D149FA">
            <w:pPr>
              <w:rPr>
                <w:sz w:val="24"/>
              </w:rPr>
            </w:pPr>
          </w:p>
          <w:p w:rsidR="005260E0" w:rsidRDefault="005260E0" w:rsidP="00D149FA">
            <w:r w:rsidRPr="00CB7A2C">
              <w:rPr>
                <w:rFonts w:hint="eastAsia"/>
                <w:sz w:val="24"/>
              </w:rPr>
              <w:t>指导老师</w:t>
            </w:r>
          </w:p>
        </w:tc>
      </w:tr>
      <w:tr w:rsidR="005260E0" w:rsidTr="00891CFB">
        <w:trPr>
          <w:trHeight w:val="4080"/>
        </w:trPr>
        <w:tc>
          <w:tcPr>
            <w:tcW w:w="1961" w:type="dxa"/>
          </w:tcPr>
          <w:p w:rsidR="005260E0" w:rsidRPr="0016578D" w:rsidRDefault="005260E0" w:rsidP="00D149FA">
            <w:pPr>
              <w:rPr>
                <w:rFonts w:asciiTheme="minorEastAsia" w:hAnsiTheme="minorEastAsia"/>
                <w:sz w:val="24"/>
                <w:szCs w:val="24"/>
              </w:rPr>
            </w:pPr>
            <w:bookmarkStart w:id="0" w:name="_Hlk370376089"/>
            <w:r w:rsidRPr="0016578D">
              <w:rPr>
                <w:rFonts w:asciiTheme="minorEastAsia" w:hAnsiTheme="minorEastAsia" w:hint="eastAsia"/>
                <w:sz w:val="24"/>
                <w:szCs w:val="24"/>
              </w:rPr>
              <w:t>我国离婚率上升问题研究</w:t>
            </w:r>
          </w:p>
        </w:tc>
        <w:tc>
          <w:tcPr>
            <w:tcW w:w="2542" w:type="dxa"/>
          </w:tcPr>
          <w:p w:rsidR="005260E0" w:rsidRPr="00CF4724" w:rsidRDefault="005260E0" w:rsidP="00D149FA">
            <w:pPr>
              <w:rPr>
                <w:sz w:val="20"/>
                <w:szCs w:val="20"/>
              </w:rPr>
            </w:pPr>
            <w:r w:rsidRPr="00CF4724">
              <w:rPr>
                <w:rFonts w:hint="eastAsia"/>
                <w:sz w:val="20"/>
                <w:szCs w:val="20"/>
              </w:rPr>
              <w:t>离婚总量</w:t>
            </w:r>
            <w:r w:rsidRPr="00CF4724">
              <w:rPr>
                <w:rFonts w:hint="eastAsia"/>
                <w:sz w:val="20"/>
                <w:szCs w:val="20"/>
              </w:rPr>
              <w:t>;</w:t>
            </w:r>
            <w:r w:rsidRPr="00CF4724">
              <w:rPr>
                <w:rFonts w:hint="eastAsia"/>
                <w:sz w:val="20"/>
                <w:szCs w:val="20"/>
              </w:rPr>
              <w:t>各类离婚方式占当年离婚总量的比例</w:t>
            </w:r>
            <w:r w:rsidRPr="00CF4724">
              <w:rPr>
                <w:rFonts w:hint="eastAsia"/>
                <w:sz w:val="20"/>
                <w:szCs w:val="20"/>
              </w:rPr>
              <w:t>;</w:t>
            </w:r>
            <w:r w:rsidRPr="00CF4724">
              <w:rPr>
                <w:rFonts w:hint="eastAsia"/>
                <w:sz w:val="20"/>
                <w:szCs w:val="20"/>
              </w:rPr>
              <w:t>离婚率（离婚对数</w:t>
            </w:r>
            <w:r w:rsidRPr="00CF4724">
              <w:rPr>
                <w:rFonts w:hint="eastAsia"/>
                <w:sz w:val="20"/>
                <w:szCs w:val="20"/>
              </w:rPr>
              <w:t>/</w:t>
            </w:r>
            <w:r w:rsidRPr="00CF4724">
              <w:rPr>
                <w:rFonts w:hint="eastAsia"/>
                <w:sz w:val="20"/>
                <w:szCs w:val="20"/>
              </w:rPr>
              <w:t>年平均人口）</w:t>
            </w:r>
            <w:r w:rsidRPr="00CF4724">
              <w:rPr>
                <w:rFonts w:hint="eastAsia"/>
                <w:sz w:val="20"/>
                <w:szCs w:val="20"/>
              </w:rPr>
              <w:t>;</w:t>
            </w:r>
            <w:r w:rsidRPr="00CF4724">
              <w:rPr>
                <w:rFonts w:hint="eastAsia"/>
                <w:sz w:val="20"/>
                <w:szCs w:val="20"/>
              </w:rPr>
              <w:t>离婚率上升的原因分析</w:t>
            </w:r>
            <w:r w:rsidRPr="00CF4724">
              <w:rPr>
                <w:rFonts w:hint="eastAsia"/>
                <w:sz w:val="20"/>
                <w:szCs w:val="20"/>
              </w:rPr>
              <w:t>;</w:t>
            </w:r>
            <w:r w:rsidRPr="00CF4724">
              <w:rPr>
                <w:rFonts w:hint="eastAsia"/>
                <w:sz w:val="20"/>
                <w:szCs w:val="20"/>
              </w:rPr>
              <w:t>离婚率与离婚法；离婚率展望。</w:t>
            </w:r>
          </w:p>
        </w:tc>
        <w:tc>
          <w:tcPr>
            <w:tcW w:w="2976" w:type="dxa"/>
          </w:tcPr>
          <w:p w:rsidR="005260E0" w:rsidRPr="00B03FC3" w:rsidRDefault="005260E0" w:rsidP="00D149FA">
            <w:pPr>
              <w:pStyle w:val="p17"/>
              <w:ind w:firstLine="210"/>
              <w:rPr>
                <w:sz w:val="20"/>
                <w:szCs w:val="20"/>
              </w:rPr>
            </w:pPr>
            <w:r w:rsidRPr="00CF4724">
              <w:rPr>
                <w:rFonts w:ascii="宋体" w:hAnsi="宋体" w:hint="eastAsia"/>
                <w:sz w:val="20"/>
                <w:szCs w:val="20"/>
              </w:rPr>
              <w:t>有关离婚率的情况，参见民政部官网（</w:t>
            </w:r>
            <w:hyperlink r:id="rId4" w:history="1">
              <w:r w:rsidRPr="00CF4724">
                <w:rPr>
                  <w:rStyle w:val="16"/>
                </w:rPr>
                <w:t>http://cws.mca.gov.cn/</w:t>
              </w:r>
            </w:hyperlink>
            <w:r w:rsidRPr="00CF4724">
              <w:rPr>
                <w:rFonts w:ascii="宋体" w:hAnsi="宋体" w:hint="eastAsia"/>
                <w:sz w:val="20"/>
                <w:szCs w:val="20"/>
              </w:rPr>
              <w:t>）上“统计信息”之“统计公报”栏内的每年度“社会服务统计报告”（</w:t>
            </w:r>
            <w:r w:rsidRPr="00CF4724">
              <w:rPr>
                <w:rFonts w:hint="eastAsia"/>
                <w:sz w:val="20"/>
                <w:szCs w:val="20"/>
              </w:rPr>
              <w:t>2009</w:t>
            </w:r>
            <w:r w:rsidRPr="00CF4724">
              <w:rPr>
                <w:rFonts w:ascii="宋体" w:hAnsi="宋体" w:hint="eastAsia"/>
                <w:sz w:val="20"/>
                <w:szCs w:val="20"/>
              </w:rPr>
              <w:t>年之前都称之为“民政事业发展统计公报”）。离婚率为什么不断攀高，可以参见陈苇：《中国婚姻家庭法立法研究》，群众出版社</w:t>
            </w:r>
            <w:r w:rsidRPr="00CF4724">
              <w:rPr>
                <w:rFonts w:hint="eastAsia"/>
                <w:sz w:val="20"/>
                <w:szCs w:val="20"/>
              </w:rPr>
              <w:t>2010</w:t>
            </w:r>
            <w:r w:rsidRPr="00CF4724">
              <w:rPr>
                <w:rFonts w:ascii="宋体" w:hAnsi="宋体" w:hint="eastAsia"/>
                <w:sz w:val="20"/>
                <w:szCs w:val="20"/>
              </w:rPr>
              <w:t>年版，第</w:t>
            </w:r>
            <w:r w:rsidRPr="00CF4724">
              <w:rPr>
                <w:rFonts w:hint="eastAsia"/>
                <w:sz w:val="20"/>
                <w:szCs w:val="20"/>
              </w:rPr>
              <w:t>301-310</w:t>
            </w:r>
            <w:r w:rsidRPr="00CF4724">
              <w:rPr>
                <w:rFonts w:ascii="宋体" w:hAnsi="宋体" w:hint="eastAsia"/>
                <w:sz w:val="20"/>
                <w:szCs w:val="20"/>
              </w:rPr>
              <w:t>页；王敏：“</w:t>
            </w:r>
            <w:hyperlink r:id="rId5" w:history="1">
              <w:r w:rsidRPr="00CF4724">
                <w:rPr>
                  <w:rStyle w:val="a4"/>
                  <w:sz w:val="20"/>
                  <w:szCs w:val="20"/>
                </w:rPr>
                <w:t>中国高离婚率背后的婚姻困境</w:t>
              </w:r>
            </w:hyperlink>
            <w:r w:rsidRPr="00CF4724">
              <w:rPr>
                <w:rFonts w:ascii="宋体" w:hAnsi="宋体" w:hint="eastAsia"/>
                <w:sz w:val="20"/>
                <w:szCs w:val="20"/>
              </w:rPr>
              <w:t>”，载《社会观察》</w:t>
            </w:r>
            <w:r w:rsidRPr="00CF4724">
              <w:rPr>
                <w:rFonts w:hint="eastAsia"/>
                <w:sz w:val="20"/>
                <w:szCs w:val="20"/>
              </w:rPr>
              <w:t>2011</w:t>
            </w:r>
            <w:r w:rsidRPr="00CF4724">
              <w:rPr>
                <w:rFonts w:ascii="宋体" w:hAnsi="宋体" w:hint="eastAsia"/>
                <w:sz w:val="20"/>
                <w:szCs w:val="20"/>
              </w:rPr>
              <w:t>年第</w:t>
            </w:r>
            <w:r w:rsidRPr="00CF4724">
              <w:rPr>
                <w:rFonts w:hint="eastAsia"/>
                <w:sz w:val="20"/>
                <w:szCs w:val="20"/>
              </w:rPr>
              <w:t>3</w:t>
            </w:r>
            <w:r w:rsidRPr="00CF4724">
              <w:rPr>
                <w:rFonts w:ascii="宋体" w:hAnsi="宋体" w:hint="eastAsia"/>
                <w:sz w:val="20"/>
                <w:szCs w:val="20"/>
              </w:rPr>
              <w:t>期，第</w:t>
            </w:r>
            <w:r w:rsidRPr="00CF4724">
              <w:rPr>
                <w:rFonts w:hint="eastAsia"/>
                <w:sz w:val="20"/>
                <w:szCs w:val="20"/>
              </w:rPr>
              <w:t>34-37</w:t>
            </w:r>
            <w:r w:rsidRPr="00CF4724">
              <w:rPr>
                <w:rFonts w:ascii="宋体" w:hAnsi="宋体" w:hint="eastAsia"/>
                <w:sz w:val="20"/>
                <w:szCs w:val="20"/>
              </w:rPr>
              <w:t>页。</w:t>
            </w:r>
          </w:p>
        </w:tc>
        <w:tc>
          <w:tcPr>
            <w:tcW w:w="883" w:type="dxa"/>
            <w:gridSpan w:val="2"/>
          </w:tcPr>
          <w:p w:rsidR="005260E0" w:rsidRPr="001D3FF5" w:rsidRDefault="005260E0" w:rsidP="00D149FA">
            <w:pPr>
              <w:jc w:val="center"/>
              <w:rPr>
                <w:sz w:val="20"/>
                <w:szCs w:val="20"/>
              </w:rPr>
            </w:pPr>
            <w:r w:rsidRPr="001D3FF5">
              <w:rPr>
                <w:sz w:val="20"/>
                <w:szCs w:val="20"/>
              </w:rPr>
              <w:t>有</w:t>
            </w:r>
          </w:p>
        </w:tc>
      </w:tr>
      <w:tr w:rsidR="005260E0" w:rsidTr="00161257">
        <w:trPr>
          <w:trHeight w:val="165"/>
        </w:trPr>
        <w:tc>
          <w:tcPr>
            <w:tcW w:w="1961" w:type="dxa"/>
          </w:tcPr>
          <w:p w:rsidR="005260E0" w:rsidRPr="0016578D" w:rsidRDefault="005260E0" w:rsidP="00D149FA">
            <w:pPr>
              <w:rPr>
                <w:rFonts w:asciiTheme="minorEastAsia" w:hAnsiTheme="minorEastAsia"/>
                <w:sz w:val="24"/>
                <w:szCs w:val="24"/>
              </w:rPr>
            </w:pPr>
            <w:proofErr w:type="gramStart"/>
            <w:r w:rsidRPr="0016578D">
              <w:rPr>
                <w:rFonts w:asciiTheme="minorEastAsia" w:hAnsiTheme="minorEastAsia" w:hint="eastAsia"/>
                <w:sz w:val="24"/>
                <w:szCs w:val="24"/>
              </w:rPr>
              <w:t>地下代孕活动</w:t>
            </w:r>
            <w:proofErr w:type="gramEnd"/>
            <w:r w:rsidRPr="0016578D">
              <w:rPr>
                <w:rFonts w:asciiTheme="minorEastAsia" w:hAnsiTheme="minorEastAsia" w:hint="eastAsia"/>
                <w:sz w:val="24"/>
                <w:szCs w:val="24"/>
              </w:rPr>
              <w:t>法律问题研究</w:t>
            </w:r>
          </w:p>
        </w:tc>
        <w:tc>
          <w:tcPr>
            <w:tcW w:w="2542" w:type="dxa"/>
          </w:tcPr>
          <w:p w:rsidR="005260E0" w:rsidRPr="00CF4724" w:rsidRDefault="005260E0" w:rsidP="00D149FA">
            <w:pPr>
              <w:rPr>
                <w:sz w:val="20"/>
                <w:szCs w:val="20"/>
              </w:rPr>
            </w:pPr>
            <w:proofErr w:type="gramStart"/>
            <w:r w:rsidRPr="00CF4724">
              <w:rPr>
                <w:rFonts w:hint="eastAsia"/>
                <w:sz w:val="20"/>
                <w:szCs w:val="20"/>
              </w:rPr>
              <w:t>地下代孕活动</w:t>
            </w:r>
            <w:proofErr w:type="gramEnd"/>
            <w:r w:rsidRPr="00CF4724">
              <w:rPr>
                <w:rFonts w:hint="eastAsia"/>
                <w:sz w:val="20"/>
                <w:szCs w:val="20"/>
              </w:rPr>
              <w:t>情况</w:t>
            </w:r>
            <w:r w:rsidRPr="00CF4724">
              <w:rPr>
                <w:rFonts w:hint="eastAsia"/>
                <w:sz w:val="20"/>
                <w:szCs w:val="20"/>
              </w:rPr>
              <w:t>;</w:t>
            </w:r>
            <w:r w:rsidRPr="00CF4724">
              <w:rPr>
                <w:rFonts w:hint="eastAsia"/>
                <w:sz w:val="20"/>
                <w:szCs w:val="20"/>
              </w:rPr>
              <w:t>涉及的法律问题</w:t>
            </w:r>
            <w:r w:rsidRPr="00CF4724">
              <w:rPr>
                <w:rFonts w:hint="eastAsia"/>
                <w:sz w:val="20"/>
                <w:szCs w:val="20"/>
              </w:rPr>
              <w:t>;</w:t>
            </w:r>
            <w:r w:rsidRPr="00CF4724">
              <w:rPr>
                <w:rFonts w:hint="eastAsia"/>
                <w:sz w:val="20"/>
                <w:szCs w:val="20"/>
              </w:rPr>
              <w:t>法律应对措施；比较法考察。</w:t>
            </w:r>
          </w:p>
        </w:tc>
        <w:tc>
          <w:tcPr>
            <w:tcW w:w="2976" w:type="dxa"/>
          </w:tcPr>
          <w:p w:rsidR="005260E0" w:rsidRPr="00CF4724" w:rsidRDefault="005260E0" w:rsidP="00D149FA">
            <w:pPr>
              <w:rPr>
                <w:sz w:val="20"/>
                <w:szCs w:val="20"/>
              </w:rPr>
            </w:pPr>
            <w:proofErr w:type="gramStart"/>
            <w:r w:rsidRPr="00CF4724">
              <w:rPr>
                <w:rFonts w:hint="eastAsia"/>
                <w:sz w:val="20"/>
                <w:szCs w:val="20"/>
              </w:rPr>
              <w:t>地下代孕活动</w:t>
            </w:r>
            <w:proofErr w:type="gramEnd"/>
            <w:r w:rsidRPr="00CF4724">
              <w:rPr>
                <w:rFonts w:hint="eastAsia"/>
                <w:sz w:val="20"/>
                <w:szCs w:val="20"/>
              </w:rPr>
              <w:t>情况可上网</w:t>
            </w:r>
            <w:proofErr w:type="gramStart"/>
            <w:r w:rsidRPr="00CF4724">
              <w:rPr>
                <w:rFonts w:hint="eastAsia"/>
                <w:sz w:val="20"/>
                <w:szCs w:val="20"/>
              </w:rPr>
              <w:t>查各种代孕公司</w:t>
            </w:r>
            <w:proofErr w:type="gramEnd"/>
            <w:r w:rsidRPr="00CF4724">
              <w:rPr>
                <w:rFonts w:hint="eastAsia"/>
                <w:sz w:val="20"/>
                <w:szCs w:val="20"/>
              </w:rPr>
              <w:t>广告。</w:t>
            </w:r>
            <w:proofErr w:type="gramStart"/>
            <w:r w:rsidRPr="00CF4724">
              <w:rPr>
                <w:rFonts w:hint="eastAsia"/>
                <w:sz w:val="20"/>
                <w:szCs w:val="20"/>
              </w:rPr>
              <w:t>期刊网查</w:t>
            </w:r>
            <w:proofErr w:type="gramEnd"/>
            <w:r w:rsidRPr="00CF4724">
              <w:rPr>
                <w:rFonts w:hint="eastAsia"/>
                <w:sz w:val="20"/>
                <w:szCs w:val="20"/>
              </w:rPr>
              <w:t>论文，</w:t>
            </w:r>
            <w:proofErr w:type="gramStart"/>
            <w:r w:rsidRPr="00CF4724">
              <w:rPr>
                <w:rFonts w:hint="eastAsia"/>
                <w:sz w:val="20"/>
                <w:szCs w:val="20"/>
              </w:rPr>
              <w:t>案例库查案例</w:t>
            </w:r>
            <w:proofErr w:type="gramEnd"/>
            <w:r w:rsidRPr="00CF4724">
              <w:rPr>
                <w:rFonts w:hint="eastAsia"/>
                <w:sz w:val="20"/>
                <w:szCs w:val="20"/>
              </w:rPr>
              <w:t>，</w:t>
            </w:r>
            <w:proofErr w:type="gramStart"/>
            <w:r w:rsidRPr="00CF4724">
              <w:rPr>
                <w:rFonts w:hint="eastAsia"/>
                <w:sz w:val="20"/>
                <w:szCs w:val="20"/>
              </w:rPr>
              <w:t>查外国法</w:t>
            </w:r>
            <w:proofErr w:type="gramEnd"/>
            <w:r w:rsidRPr="00CF4724">
              <w:rPr>
                <w:rFonts w:hint="eastAsia"/>
                <w:sz w:val="20"/>
                <w:szCs w:val="20"/>
              </w:rPr>
              <w:t>资料。</w:t>
            </w:r>
          </w:p>
        </w:tc>
        <w:tc>
          <w:tcPr>
            <w:tcW w:w="883" w:type="dxa"/>
            <w:gridSpan w:val="2"/>
          </w:tcPr>
          <w:p w:rsidR="005260E0" w:rsidRPr="00CF4724" w:rsidRDefault="005260E0" w:rsidP="00D149FA">
            <w:pPr>
              <w:jc w:val="center"/>
              <w:rPr>
                <w:sz w:val="20"/>
                <w:szCs w:val="20"/>
              </w:rPr>
            </w:pPr>
            <w:r w:rsidRPr="00CF4724">
              <w:rPr>
                <w:rFonts w:hint="eastAsia"/>
                <w:sz w:val="20"/>
                <w:szCs w:val="20"/>
              </w:rPr>
              <w:t>有</w:t>
            </w:r>
          </w:p>
        </w:tc>
      </w:tr>
      <w:tr w:rsidR="005260E0" w:rsidTr="00161257">
        <w:trPr>
          <w:trHeight w:val="165"/>
        </w:trPr>
        <w:tc>
          <w:tcPr>
            <w:tcW w:w="1961" w:type="dxa"/>
          </w:tcPr>
          <w:p w:rsidR="005260E0" w:rsidRPr="0016578D" w:rsidRDefault="005260E0" w:rsidP="00D149FA">
            <w:pPr>
              <w:rPr>
                <w:sz w:val="24"/>
                <w:szCs w:val="24"/>
              </w:rPr>
            </w:pPr>
            <w:r w:rsidRPr="0016578D">
              <w:rPr>
                <w:rFonts w:hint="eastAsia"/>
                <w:sz w:val="24"/>
                <w:szCs w:val="24"/>
              </w:rPr>
              <w:t>保障性住房的退出机制研究</w:t>
            </w:r>
          </w:p>
        </w:tc>
        <w:tc>
          <w:tcPr>
            <w:tcW w:w="2542" w:type="dxa"/>
          </w:tcPr>
          <w:p w:rsidR="005260E0" w:rsidRPr="00CF4724" w:rsidRDefault="005260E0" w:rsidP="00D149FA">
            <w:pPr>
              <w:rPr>
                <w:sz w:val="20"/>
                <w:szCs w:val="20"/>
              </w:rPr>
            </w:pPr>
            <w:r w:rsidRPr="00CF4724">
              <w:rPr>
                <w:rFonts w:hint="eastAsia"/>
                <w:sz w:val="20"/>
                <w:szCs w:val="20"/>
              </w:rPr>
              <w:t>保障性住房已经成为我国城镇住房体系的重要组成部分，我国已经建设了大量的保障性住房，但许多</w:t>
            </w:r>
            <w:proofErr w:type="gramStart"/>
            <w:r w:rsidRPr="00CF4724">
              <w:rPr>
                <w:rFonts w:hint="eastAsia"/>
                <w:sz w:val="20"/>
                <w:szCs w:val="20"/>
              </w:rPr>
              <w:t>被保障</w:t>
            </w:r>
            <w:proofErr w:type="gramEnd"/>
            <w:r w:rsidRPr="00CF4724">
              <w:rPr>
                <w:rFonts w:hint="eastAsia"/>
                <w:sz w:val="20"/>
                <w:szCs w:val="20"/>
              </w:rPr>
              <w:t>家庭在不再符合保障条件后，却不愿意搬离保障性住房。这严重影响了住房保障制度的公平性和有效性。</w:t>
            </w:r>
          </w:p>
        </w:tc>
        <w:tc>
          <w:tcPr>
            <w:tcW w:w="2976" w:type="dxa"/>
          </w:tcPr>
          <w:p w:rsidR="005260E0" w:rsidRPr="00CF4724" w:rsidRDefault="005260E0" w:rsidP="00D149FA">
            <w:pPr>
              <w:rPr>
                <w:sz w:val="20"/>
                <w:szCs w:val="20"/>
              </w:rPr>
            </w:pPr>
            <w:r w:rsidRPr="00CF4724">
              <w:rPr>
                <w:rFonts w:hint="eastAsia"/>
                <w:sz w:val="20"/>
                <w:szCs w:val="20"/>
              </w:rPr>
              <w:t>法律法规检索、访谈</w:t>
            </w:r>
            <w:proofErr w:type="gramStart"/>
            <w:r w:rsidRPr="00CF4724">
              <w:rPr>
                <w:rFonts w:hint="eastAsia"/>
                <w:sz w:val="20"/>
                <w:szCs w:val="20"/>
              </w:rPr>
              <w:t>被保障</w:t>
            </w:r>
            <w:proofErr w:type="gramEnd"/>
            <w:r w:rsidRPr="00CF4724">
              <w:rPr>
                <w:rFonts w:hint="eastAsia"/>
                <w:sz w:val="20"/>
                <w:szCs w:val="20"/>
              </w:rPr>
              <w:t>家庭和住房保障主管部门领导、国外的相关经验。</w:t>
            </w:r>
          </w:p>
        </w:tc>
        <w:tc>
          <w:tcPr>
            <w:tcW w:w="883" w:type="dxa"/>
            <w:gridSpan w:val="2"/>
          </w:tcPr>
          <w:p w:rsidR="005260E0" w:rsidRPr="00CF4724" w:rsidRDefault="005260E0" w:rsidP="00D149FA">
            <w:pPr>
              <w:jc w:val="center"/>
              <w:rPr>
                <w:sz w:val="20"/>
                <w:szCs w:val="20"/>
              </w:rPr>
            </w:pPr>
            <w:r>
              <w:rPr>
                <w:rFonts w:hint="eastAsia"/>
                <w:sz w:val="20"/>
                <w:szCs w:val="20"/>
              </w:rPr>
              <w:t>有</w:t>
            </w:r>
          </w:p>
        </w:tc>
      </w:tr>
      <w:tr w:rsidR="005260E0" w:rsidTr="00161257">
        <w:trPr>
          <w:trHeight w:val="70"/>
        </w:trPr>
        <w:tc>
          <w:tcPr>
            <w:tcW w:w="1961" w:type="dxa"/>
          </w:tcPr>
          <w:p w:rsidR="005260E0" w:rsidRPr="0016578D" w:rsidRDefault="005260E0" w:rsidP="00D149FA">
            <w:pPr>
              <w:rPr>
                <w:sz w:val="24"/>
                <w:szCs w:val="24"/>
              </w:rPr>
            </w:pPr>
            <w:r w:rsidRPr="0016578D">
              <w:rPr>
                <w:rFonts w:hint="eastAsia"/>
                <w:sz w:val="24"/>
                <w:szCs w:val="24"/>
              </w:rPr>
              <w:t>以危险方法危害公共安全罪的变异扩张适用</w:t>
            </w:r>
          </w:p>
        </w:tc>
        <w:tc>
          <w:tcPr>
            <w:tcW w:w="2542" w:type="dxa"/>
          </w:tcPr>
          <w:p w:rsidR="005260E0" w:rsidRPr="00CF4724" w:rsidRDefault="005260E0" w:rsidP="00D149FA">
            <w:pPr>
              <w:rPr>
                <w:sz w:val="20"/>
                <w:szCs w:val="20"/>
              </w:rPr>
            </w:pPr>
            <w:r w:rsidRPr="00B03FC3">
              <w:rPr>
                <w:rFonts w:hint="eastAsia"/>
                <w:sz w:val="20"/>
                <w:szCs w:val="20"/>
              </w:rPr>
              <w:t>在体系位置上，以危险方法危害公共安全罪是刑法第</w:t>
            </w:r>
            <w:r w:rsidRPr="00B03FC3">
              <w:rPr>
                <w:rFonts w:hint="eastAsia"/>
                <w:sz w:val="20"/>
                <w:szCs w:val="20"/>
              </w:rPr>
              <w:t>114</w:t>
            </w:r>
            <w:r w:rsidRPr="00B03FC3">
              <w:rPr>
                <w:rFonts w:hint="eastAsia"/>
                <w:sz w:val="20"/>
                <w:szCs w:val="20"/>
              </w:rPr>
              <w:t>条的“兜底”罪名，而非第二章的“兜底”罪名。但是，在司法实践中，为了严厉惩治犯罪，该</w:t>
            </w:r>
            <w:proofErr w:type="gramStart"/>
            <w:r w:rsidRPr="00B03FC3">
              <w:rPr>
                <w:rFonts w:hint="eastAsia"/>
                <w:sz w:val="20"/>
                <w:szCs w:val="20"/>
              </w:rPr>
              <w:t>罪出现</w:t>
            </w:r>
            <w:proofErr w:type="gramEnd"/>
            <w:r w:rsidRPr="00B03FC3">
              <w:rPr>
                <w:rFonts w:hint="eastAsia"/>
                <w:sz w:val="20"/>
                <w:szCs w:val="20"/>
              </w:rPr>
              <w:t>了扩张适用的变异情形，故需要正本清源，重新审视该罪的规范构造和适用条件。</w:t>
            </w:r>
          </w:p>
        </w:tc>
        <w:tc>
          <w:tcPr>
            <w:tcW w:w="2976" w:type="dxa"/>
          </w:tcPr>
          <w:p w:rsidR="005260E0" w:rsidRPr="00CF4724" w:rsidRDefault="005260E0" w:rsidP="00D149FA">
            <w:pPr>
              <w:rPr>
                <w:sz w:val="20"/>
                <w:szCs w:val="20"/>
              </w:rPr>
            </w:pPr>
            <w:r w:rsidRPr="00B03FC3">
              <w:rPr>
                <w:rFonts w:hint="eastAsia"/>
                <w:sz w:val="20"/>
                <w:szCs w:val="20"/>
              </w:rPr>
              <w:t>刑法理论与司法实务的密切结合和互动</w:t>
            </w:r>
          </w:p>
        </w:tc>
        <w:tc>
          <w:tcPr>
            <w:tcW w:w="883" w:type="dxa"/>
            <w:gridSpan w:val="2"/>
          </w:tcPr>
          <w:p w:rsidR="005260E0" w:rsidRPr="00CF4724" w:rsidRDefault="005260E0" w:rsidP="00D149FA">
            <w:pPr>
              <w:jc w:val="center"/>
              <w:rPr>
                <w:sz w:val="20"/>
                <w:szCs w:val="20"/>
              </w:rPr>
            </w:pPr>
            <w:r>
              <w:rPr>
                <w:rFonts w:hint="eastAsia"/>
                <w:sz w:val="20"/>
                <w:szCs w:val="20"/>
              </w:rPr>
              <w:t>有</w:t>
            </w:r>
          </w:p>
        </w:tc>
      </w:tr>
      <w:tr w:rsidR="005260E0" w:rsidTr="00891CFB">
        <w:trPr>
          <w:trHeight w:val="505"/>
        </w:trPr>
        <w:tc>
          <w:tcPr>
            <w:tcW w:w="1961" w:type="dxa"/>
          </w:tcPr>
          <w:p w:rsidR="005260E0" w:rsidRPr="0016578D" w:rsidRDefault="005260E0" w:rsidP="00D149FA">
            <w:pPr>
              <w:rPr>
                <w:sz w:val="24"/>
                <w:szCs w:val="24"/>
              </w:rPr>
            </w:pPr>
            <w:r w:rsidRPr="0016578D">
              <w:rPr>
                <w:rFonts w:ascii="Simsun" w:hAnsi="Simsun"/>
                <w:color w:val="000000"/>
                <w:sz w:val="24"/>
                <w:szCs w:val="24"/>
              </w:rPr>
              <w:t>深圳商</w:t>
            </w:r>
            <w:proofErr w:type="gramStart"/>
            <w:r w:rsidRPr="0016578D">
              <w:rPr>
                <w:rFonts w:ascii="Simsun" w:hAnsi="Simsun"/>
                <w:color w:val="000000"/>
                <w:sz w:val="24"/>
                <w:szCs w:val="24"/>
              </w:rPr>
              <w:t>事登记</w:t>
            </w:r>
            <w:proofErr w:type="gramEnd"/>
            <w:r w:rsidRPr="0016578D">
              <w:rPr>
                <w:rFonts w:ascii="Simsun" w:hAnsi="Simsun"/>
                <w:color w:val="000000"/>
                <w:sz w:val="24"/>
                <w:szCs w:val="24"/>
              </w:rPr>
              <w:t>改革对我国公司法律制度的冲击和</w:t>
            </w:r>
            <w:r w:rsidRPr="0016578D">
              <w:rPr>
                <w:rFonts w:ascii="Simsun" w:hAnsi="Simsun"/>
                <w:color w:val="000000"/>
                <w:sz w:val="24"/>
                <w:szCs w:val="24"/>
              </w:rPr>
              <w:lastRenderedPageBreak/>
              <w:t>挑战问题</w:t>
            </w:r>
          </w:p>
        </w:tc>
        <w:tc>
          <w:tcPr>
            <w:tcW w:w="2542" w:type="dxa"/>
          </w:tcPr>
          <w:p w:rsidR="005260E0" w:rsidRDefault="005260E0" w:rsidP="00D149FA"/>
        </w:tc>
        <w:tc>
          <w:tcPr>
            <w:tcW w:w="2976" w:type="dxa"/>
          </w:tcPr>
          <w:p w:rsidR="005260E0" w:rsidRDefault="005260E0" w:rsidP="00D149FA"/>
        </w:tc>
        <w:tc>
          <w:tcPr>
            <w:tcW w:w="883" w:type="dxa"/>
            <w:gridSpan w:val="2"/>
          </w:tcPr>
          <w:p w:rsidR="005260E0" w:rsidRDefault="005260E0" w:rsidP="00D149FA"/>
        </w:tc>
      </w:tr>
      <w:tr w:rsidR="005260E0" w:rsidTr="00161257">
        <w:trPr>
          <w:trHeight w:val="1063"/>
        </w:trPr>
        <w:tc>
          <w:tcPr>
            <w:tcW w:w="1961" w:type="dxa"/>
          </w:tcPr>
          <w:p w:rsidR="005260E0" w:rsidRPr="0016578D" w:rsidRDefault="005260E0" w:rsidP="00D149FA">
            <w:pPr>
              <w:rPr>
                <w:sz w:val="24"/>
                <w:szCs w:val="24"/>
              </w:rPr>
            </w:pPr>
            <w:r w:rsidRPr="0016578D">
              <w:rPr>
                <w:rFonts w:ascii="Arial" w:hAnsi="Arial" w:cs="Arial"/>
                <w:color w:val="000000"/>
                <w:sz w:val="24"/>
                <w:szCs w:val="24"/>
              </w:rPr>
              <w:lastRenderedPageBreak/>
              <w:t>软件知识产权保护对中国软件产业的影响</w:t>
            </w:r>
          </w:p>
        </w:tc>
        <w:tc>
          <w:tcPr>
            <w:tcW w:w="2542" w:type="dxa"/>
          </w:tcPr>
          <w:p w:rsidR="005260E0" w:rsidRDefault="005260E0" w:rsidP="00D149FA"/>
        </w:tc>
        <w:tc>
          <w:tcPr>
            <w:tcW w:w="2976" w:type="dxa"/>
          </w:tcPr>
          <w:p w:rsidR="005260E0" w:rsidRDefault="005260E0" w:rsidP="00D149FA"/>
        </w:tc>
        <w:tc>
          <w:tcPr>
            <w:tcW w:w="883" w:type="dxa"/>
            <w:gridSpan w:val="2"/>
          </w:tcPr>
          <w:p w:rsidR="005260E0" w:rsidRDefault="005260E0" w:rsidP="00D149FA"/>
        </w:tc>
      </w:tr>
      <w:tr w:rsidR="005260E0" w:rsidTr="00161257">
        <w:trPr>
          <w:trHeight w:val="686"/>
        </w:trPr>
        <w:tc>
          <w:tcPr>
            <w:tcW w:w="1961" w:type="dxa"/>
          </w:tcPr>
          <w:p w:rsidR="005260E0" w:rsidRPr="0016578D" w:rsidRDefault="005260E0" w:rsidP="00D149FA">
            <w:pPr>
              <w:rPr>
                <w:sz w:val="24"/>
                <w:szCs w:val="24"/>
              </w:rPr>
            </w:pPr>
            <w:r w:rsidRPr="0016578D">
              <w:rPr>
                <w:rFonts w:ascii="Courier New" w:hAnsi="Courier New"/>
                <w:color w:val="000000"/>
                <w:sz w:val="24"/>
                <w:szCs w:val="24"/>
                <w:shd w:val="clear" w:color="auto" w:fill="FFFFFF"/>
              </w:rPr>
              <w:t>新城镇化与土地制度改革</w:t>
            </w:r>
          </w:p>
        </w:tc>
        <w:tc>
          <w:tcPr>
            <w:tcW w:w="2542" w:type="dxa"/>
          </w:tcPr>
          <w:p w:rsidR="005260E0" w:rsidRDefault="005260E0" w:rsidP="00D149FA"/>
        </w:tc>
        <w:tc>
          <w:tcPr>
            <w:tcW w:w="2976" w:type="dxa"/>
          </w:tcPr>
          <w:p w:rsidR="005260E0" w:rsidRDefault="005260E0" w:rsidP="00D149FA"/>
        </w:tc>
        <w:tc>
          <w:tcPr>
            <w:tcW w:w="883" w:type="dxa"/>
            <w:gridSpan w:val="2"/>
          </w:tcPr>
          <w:p w:rsidR="005260E0" w:rsidRDefault="005260E0" w:rsidP="00D149FA"/>
        </w:tc>
      </w:tr>
      <w:tr w:rsidR="005260E0" w:rsidRPr="00161257" w:rsidTr="00161257">
        <w:tblPrEx>
          <w:tblLook w:val="0000" w:firstRow="0" w:lastRow="0" w:firstColumn="0" w:lastColumn="0" w:noHBand="0" w:noVBand="0"/>
        </w:tblPrEx>
        <w:trPr>
          <w:trHeight w:val="870"/>
        </w:trPr>
        <w:tc>
          <w:tcPr>
            <w:tcW w:w="1961" w:type="dxa"/>
          </w:tcPr>
          <w:p w:rsidR="005260E0" w:rsidRPr="0016578D" w:rsidRDefault="005260E0" w:rsidP="00D149FA">
            <w:pPr>
              <w:rPr>
                <w:rFonts w:asciiTheme="minorEastAsia" w:hAnsiTheme="minorEastAsia"/>
                <w:sz w:val="24"/>
                <w:szCs w:val="24"/>
              </w:rPr>
            </w:pPr>
            <w:r w:rsidRPr="0016578D">
              <w:rPr>
                <w:rFonts w:asciiTheme="minorEastAsia" w:hAnsiTheme="minorEastAsia" w:hint="eastAsia"/>
                <w:sz w:val="24"/>
                <w:szCs w:val="24"/>
              </w:rPr>
              <w:t>犯罪被害人救助制度（实证）研究</w:t>
            </w:r>
            <w:r w:rsidR="00161257" w:rsidRPr="0016578D">
              <w:rPr>
                <w:rFonts w:asciiTheme="minorEastAsia" w:hAnsiTheme="minorEastAsia" w:hint="eastAsia"/>
                <w:sz w:val="24"/>
                <w:szCs w:val="24"/>
              </w:rPr>
              <w:t xml:space="preserve"> </w:t>
            </w:r>
          </w:p>
        </w:tc>
        <w:tc>
          <w:tcPr>
            <w:tcW w:w="2542" w:type="dxa"/>
            <w:shd w:val="clear" w:color="auto" w:fill="auto"/>
          </w:tcPr>
          <w:p w:rsidR="005260E0" w:rsidRPr="00161257" w:rsidRDefault="005260E0" w:rsidP="00D149FA">
            <w:pPr>
              <w:widowControl/>
              <w:jc w:val="left"/>
              <w:rPr>
                <w:rFonts w:asciiTheme="minorEastAsia" w:hAnsiTheme="minorEastAsia"/>
                <w:sz w:val="20"/>
                <w:szCs w:val="20"/>
              </w:rPr>
            </w:pPr>
          </w:p>
        </w:tc>
        <w:tc>
          <w:tcPr>
            <w:tcW w:w="2976" w:type="dxa"/>
            <w:shd w:val="clear" w:color="auto" w:fill="auto"/>
          </w:tcPr>
          <w:p w:rsidR="005260E0" w:rsidRPr="00161257" w:rsidRDefault="005260E0" w:rsidP="00D149FA">
            <w:pPr>
              <w:widowControl/>
              <w:jc w:val="left"/>
              <w:rPr>
                <w:rFonts w:asciiTheme="minorEastAsia" w:hAnsiTheme="minorEastAsia"/>
                <w:sz w:val="20"/>
                <w:szCs w:val="20"/>
              </w:rPr>
            </w:pPr>
          </w:p>
        </w:tc>
        <w:tc>
          <w:tcPr>
            <w:tcW w:w="883" w:type="dxa"/>
            <w:gridSpan w:val="2"/>
            <w:shd w:val="clear" w:color="auto" w:fill="auto"/>
          </w:tcPr>
          <w:p w:rsidR="005260E0" w:rsidRPr="00161257" w:rsidRDefault="005260E0" w:rsidP="00D149FA">
            <w:pPr>
              <w:widowControl/>
              <w:jc w:val="left"/>
              <w:rPr>
                <w:rFonts w:asciiTheme="minorEastAsia" w:hAnsiTheme="minorEastAsia"/>
                <w:sz w:val="20"/>
                <w:szCs w:val="20"/>
              </w:rPr>
            </w:pPr>
          </w:p>
        </w:tc>
      </w:tr>
      <w:tr w:rsidR="005260E0" w:rsidRPr="00161257" w:rsidTr="00161257">
        <w:tblPrEx>
          <w:tblLook w:val="0000" w:firstRow="0" w:lastRow="0" w:firstColumn="0" w:lastColumn="0" w:noHBand="0" w:noVBand="0"/>
        </w:tblPrEx>
        <w:trPr>
          <w:trHeight w:val="945"/>
        </w:trPr>
        <w:tc>
          <w:tcPr>
            <w:tcW w:w="1961" w:type="dxa"/>
          </w:tcPr>
          <w:p w:rsidR="005260E0" w:rsidRPr="0016578D" w:rsidRDefault="005260E0" w:rsidP="00D149FA">
            <w:pPr>
              <w:rPr>
                <w:rFonts w:asciiTheme="minorEastAsia" w:hAnsiTheme="minorEastAsia"/>
                <w:sz w:val="24"/>
                <w:szCs w:val="24"/>
              </w:rPr>
            </w:pPr>
            <w:r w:rsidRPr="0016578D">
              <w:rPr>
                <w:rFonts w:asciiTheme="minorEastAsia" w:hAnsiTheme="minorEastAsia" w:hint="eastAsia"/>
                <w:sz w:val="24"/>
                <w:szCs w:val="24"/>
              </w:rPr>
              <w:t>联合国《反腐败公约》在中国的适用问题</w:t>
            </w:r>
          </w:p>
          <w:p w:rsidR="005260E0" w:rsidRPr="0016578D" w:rsidRDefault="005260E0" w:rsidP="00D149FA">
            <w:pPr>
              <w:rPr>
                <w:rFonts w:asciiTheme="minorEastAsia" w:hAnsiTheme="minorEastAsia"/>
                <w:sz w:val="24"/>
                <w:szCs w:val="24"/>
              </w:rPr>
            </w:pPr>
            <w:r w:rsidRPr="0016578D">
              <w:rPr>
                <w:rFonts w:asciiTheme="minorEastAsia" w:hAnsiTheme="minorEastAsia" w:hint="eastAsia"/>
                <w:sz w:val="24"/>
                <w:szCs w:val="24"/>
              </w:rPr>
              <w:t xml:space="preserve">                 </w:t>
            </w:r>
            <w:r w:rsidR="00161257" w:rsidRPr="0016578D">
              <w:rPr>
                <w:rFonts w:asciiTheme="minorEastAsia" w:hAnsiTheme="minorEastAsia" w:hint="eastAsia"/>
                <w:sz w:val="24"/>
                <w:szCs w:val="24"/>
              </w:rPr>
              <w:t xml:space="preserve">       </w:t>
            </w:r>
          </w:p>
        </w:tc>
        <w:tc>
          <w:tcPr>
            <w:tcW w:w="2542" w:type="dxa"/>
          </w:tcPr>
          <w:p w:rsidR="005260E0" w:rsidRPr="00161257" w:rsidRDefault="005260E0" w:rsidP="00D149FA">
            <w:pPr>
              <w:rPr>
                <w:rFonts w:asciiTheme="minorEastAsia" w:hAnsiTheme="minorEastAsia"/>
                <w:sz w:val="20"/>
                <w:szCs w:val="20"/>
              </w:rPr>
            </w:pPr>
          </w:p>
        </w:tc>
        <w:tc>
          <w:tcPr>
            <w:tcW w:w="2976" w:type="dxa"/>
          </w:tcPr>
          <w:p w:rsidR="005260E0" w:rsidRPr="00161257" w:rsidRDefault="005260E0" w:rsidP="00D149FA">
            <w:pPr>
              <w:rPr>
                <w:rFonts w:asciiTheme="minorEastAsia" w:hAnsiTheme="minorEastAsia"/>
                <w:sz w:val="20"/>
                <w:szCs w:val="20"/>
              </w:rPr>
            </w:pPr>
          </w:p>
        </w:tc>
        <w:tc>
          <w:tcPr>
            <w:tcW w:w="883" w:type="dxa"/>
            <w:gridSpan w:val="2"/>
          </w:tcPr>
          <w:p w:rsidR="005260E0" w:rsidRPr="00161257" w:rsidRDefault="005260E0" w:rsidP="00D149FA">
            <w:pPr>
              <w:rPr>
                <w:rFonts w:asciiTheme="minorEastAsia" w:hAnsiTheme="minorEastAsia"/>
                <w:sz w:val="20"/>
                <w:szCs w:val="20"/>
              </w:rPr>
            </w:pPr>
          </w:p>
        </w:tc>
      </w:tr>
      <w:tr w:rsidR="005260E0" w:rsidRPr="00161257" w:rsidTr="00161257">
        <w:tblPrEx>
          <w:tblLook w:val="0000" w:firstRow="0" w:lastRow="0" w:firstColumn="0" w:lastColumn="0" w:noHBand="0" w:noVBand="0"/>
        </w:tblPrEx>
        <w:trPr>
          <w:trHeight w:val="1035"/>
        </w:trPr>
        <w:tc>
          <w:tcPr>
            <w:tcW w:w="1961" w:type="dxa"/>
          </w:tcPr>
          <w:p w:rsidR="005260E0" w:rsidRPr="0016578D" w:rsidRDefault="005260E0" w:rsidP="00D149FA">
            <w:pPr>
              <w:rPr>
                <w:rFonts w:asciiTheme="minorEastAsia" w:hAnsiTheme="minorEastAsia"/>
                <w:sz w:val="24"/>
                <w:szCs w:val="24"/>
              </w:rPr>
            </w:pPr>
            <w:r w:rsidRPr="0016578D">
              <w:rPr>
                <w:rFonts w:asciiTheme="minorEastAsia" w:hAnsiTheme="minorEastAsia" w:hint="eastAsia"/>
                <w:sz w:val="24"/>
                <w:szCs w:val="24"/>
              </w:rPr>
              <w:t>上海自贸区与香港自由港的关系</w:t>
            </w:r>
          </w:p>
        </w:tc>
        <w:tc>
          <w:tcPr>
            <w:tcW w:w="2542" w:type="dxa"/>
          </w:tcPr>
          <w:p w:rsidR="005260E0" w:rsidRPr="00161257" w:rsidRDefault="005260E0" w:rsidP="00D149FA">
            <w:pPr>
              <w:rPr>
                <w:rFonts w:asciiTheme="minorEastAsia" w:hAnsiTheme="minorEastAsia"/>
                <w:sz w:val="20"/>
                <w:szCs w:val="20"/>
              </w:rPr>
            </w:pPr>
            <w:r w:rsidRPr="00161257">
              <w:rPr>
                <w:rFonts w:asciiTheme="minorEastAsia" w:hAnsiTheme="minorEastAsia" w:hint="eastAsia"/>
                <w:sz w:val="20"/>
                <w:szCs w:val="20"/>
              </w:rPr>
              <w:t>主旨是研究上海自贸区是否对香港的特殊经贸地位构成挑战？前者对后者的政治地位有何影响？即从经济与政治法律两方面分析。</w:t>
            </w:r>
          </w:p>
          <w:p w:rsidR="005260E0" w:rsidRPr="00161257" w:rsidRDefault="005260E0" w:rsidP="00D149FA">
            <w:pPr>
              <w:rPr>
                <w:rFonts w:asciiTheme="minorEastAsia" w:hAnsiTheme="minorEastAsia"/>
                <w:sz w:val="20"/>
                <w:szCs w:val="20"/>
              </w:rPr>
            </w:pPr>
            <w:r w:rsidRPr="00161257">
              <w:rPr>
                <w:rFonts w:asciiTheme="minorEastAsia" w:hAnsiTheme="minorEastAsia" w:hint="eastAsia"/>
                <w:sz w:val="20"/>
                <w:szCs w:val="20"/>
              </w:rPr>
              <w:t>难点在于：现在的观点倾向于上海会替代香港。那么，香港的未来出路在哪里？</w:t>
            </w:r>
          </w:p>
        </w:tc>
        <w:tc>
          <w:tcPr>
            <w:tcW w:w="2976" w:type="dxa"/>
          </w:tcPr>
          <w:p w:rsidR="005260E0" w:rsidRPr="00161257" w:rsidRDefault="005260E0" w:rsidP="00D149FA">
            <w:pPr>
              <w:rPr>
                <w:rFonts w:asciiTheme="minorEastAsia" w:hAnsiTheme="minorEastAsia"/>
                <w:sz w:val="20"/>
                <w:szCs w:val="20"/>
              </w:rPr>
            </w:pPr>
            <w:r w:rsidRPr="00161257">
              <w:rPr>
                <w:rFonts w:asciiTheme="minorEastAsia" w:hAnsiTheme="minorEastAsia" w:hint="eastAsia"/>
                <w:sz w:val="20"/>
                <w:szCs w:val="20"/>
              </w:rPr>
              <w:t>可从下面几个方面考虑：</w:t>
            </w:r>
          </w:p>
          <w:p w:rsidR="005260E0" w:rsidRPr="00161257" w:rsidRDefault="005260E0" w:rsidP="00D149FA">
            <w:pPr>
              <w:rPr>
                <w:rFonts w:asciiTheme="minorEastAsia" w:hAnsiTheme="minorEastAsia"/>
                <w:sz w:val="20"/>
                <w:szCs w:val="20"/>
              </w:rPr>
            </w:pPr>
            <w:r w:rsidRPr="00161257">
              <w:rPr>
                <w:rFonts w:asciiTheme="minorEastAsia" w:hAnsiTheme="minorEastAsia" w:hint="eastAsia"/>
                <w:sz w:val="20"/>
                <w:szCs w:val="20"/>
              </w:rPr>
              <w:t>1. 从宪法、基本法和自贸区规则角度分析经济制度的变化；</w:t>
            </w:r>
          </w:p>
          <w:p w:rsidR="005260E0" w:rsidRPr="00161257" w:rsidRDefault="005260E0" w:rsidP="00D149FA">
            <w:pPr>
              <w:rPr>
                <w:rFonts w:asciiTheme="minorEastAsia" w:hAnsiTheme="minorEastAsia"/>
                <w:sz w:val="20"/>
                <w:szCs w:val="20"/>
              </w:rPr>
            </w:pPr>
            <w:r w:rsidRPr="00161257">
              <w:rPr>
                <w:rFonts w:asciiTheme="minorEastAsia" w:hAnsiTheme="minorEastAsia" w:hint="eastAsia"/>
                <w:sz w:val="20"/>
                <w:szCs w:val="20"/>
              </w:rPr>
              <w:t>2. 从国内行政审批制度的改革看上海与香港的异同；</w:t>
            </w:r>
          </w:p>
          <w:p w:rsidR="005260E0" w:rsidRPr="00161257" w:rsidRDefault="005260E0" w:rsidP="00D149FA">
            <w:pPr>
              <w:rPr>
                <w:rFonts w:asciiTheme="minorEastAsia" w:hAnsiTheme="minorEastAsia"/>
                <w:sz w:val="20"/>
                <w:szCs w:val="20"/>
              </w:rPr>
            </w:pPr>
            <w:r w:rsidRPr="00161257">
              <w:rPr>
                <w:rFonts w:asciiTheme="minorEastAsia" w:hAnsiTheme="minorEastAsia" w:hint="eastAsia"/>
                <w:sz w:val="20"/>
                <w:szCs w:val="20"/>
              </w:rPr>
              <w:t>3. 以香港为基础，进行全球性的比较。</w:t>
            </w:r>
          </w:p>
        </w:tc>
        <w:tc>
          <w:tcPr>
            <w:tcW w:w="883" w:type="dxa"/>
            <w:gridSpan w:val="2"/>
          </w:tcPr>
          <w:p w:rsidR="005260E0" w:rsidRPr="00161257" w:rsidRDefault="0022198E" w:rsidP="00D149FA">
            <w:pPr>
              <w:rPr>
                <w:rFonts w:asciiTheme="minorEastAsia" w:hAnsiTheme="minorEastAsia"/>
                <w:sz w:val="20"/>
                <w:szCs w:val="20"/>
              </w:rPr>
            </w:pPr>
            <w:r>
              <w:rPr>
                <w:rFonts w:asciiTheme="minorEastAsia" w:hAnsiTheme="minorEastAsia" w:hint="eastAsia"/>
                <w:sz w:val="20"/>
                <w:szCs w:val="20"/>
              </w:rPr>
              <w:t>有</w:t>
            </w:r>
          </w:p>
        </w:tc>
      </w:tr>
      <w:tr w:rsidR="005260E0" w:rsidRPr="00161257" w:rsidTr="00161257">
        <w:tblPrEx>
          <w:tblLook w:val="0000" w:firstRow="0" w:lastRow="0" w:firstColumn="0" w:lastColumn="0" w:noHBand="0" w:noVBand="0"/>
        </w:tblPrEx>
        <w:trPr>
          <w:trHeight w:val="1110"/>
        </w:trPr>
        <w:tc>
          <w:tcPr>
            <w:tcW w:w="1961" w:type="dxa"/>
          </w:tcPr>
          <w:p w:rsidR="005260E0" w:rsidRPr="0016578D" w:rsidRDefault="00E35A3F" w:rsidP="00D149FA">
            <w:pPr>
              <w:rPr>
                <w:rFonts w:asciiTheme="minorEastAsia" w:hAnsiTheme="minorEastAsia"/>
                <w:sz w:val="24"/>
                <w:szCs w:val="24"/>
              </w:rPr>
            </w:pPr>
            <w:r w:rsidRPr="0016578D">
              <w:rPr>
                <w:rFonts w:asciiTheme="minorEastAsia" w:hAnsiTheme="minorEastAsia" w:hint="eastAsia"/>
                <w:sz w:val="24"/>
                <w:szCs w:val="24"/>
              </w:rPr>
              <w:t>互联网隐私权的法律保护</w:t>
            </w:r>
          </w:p>
        </w:tc>
        <w:tc>
          <w:tcPr>
            <w:tcW w:w="2542" w:type="dxa"/>
          </w:tcPr>
          <w:p w:rsidR="005260E0" w:rsidRPr="00161257" w:rsidRDefault="00E35A3F" w:rsidP="00D149FA">
            <w:pPr>
              <w:rPr>
                <w:rFonts w:asciiTheme="minorEastAsia" w:hAnsiTheme="minorEastAsia"/>
                <w:sz w:val="20"/>
                <w:szCs w:val="20"/>
              </w:rPr>
            </w:pPr>
            <w:r w:rsidRPr="00161257">
              <w:rPr>
                <w:rFonts w:asciiTheme="minorEastAsia" w:hAnsiTheme="minorEastAsia" w:hint="eastAsia"/>
                <w:sz w:val="20"/>
                <w:szCs w:val="20"/>
              </w:rPr>
              <w:t>.大数据时代，三网融合以及互联网向个性化方向发展的趋势，拥有技术、信息和经济优势的电商对用户的隐私权采取怎样的保护态度，将直接影响其商业发展，而在互联网“透明社会”、“虚拟社会”</w:t>
            </w:r>
            <w:proofErr w:type="gramStart"/>
            <w:r w:rsidRPr="00161257">
              <w:rPr>
                <w:rFonts w:asciiTheme="minorEastAsia" w:hAnsiTheme="minorEastAsia" w:hint="eastAsia"/>
                <w:sz w:val="20"/>
                <w:szCs w:val="20"/>
              </w:rPr>
              <w:t>下公民</w:t>
            </w:r>
            <w:proofErr w:type="gramEnd"/>
            <w:r w:rsidRPr="00161257">
              <w:rPr>
                <w:rFonts w:asciiTheme="minorEastAsia" w:hAnsiTheme="minorEastAsia" w:hint="eastAsia"/>
                <w:sz w:val="20"/>
                <w:szCs w:val="20"/>
              </w:rPr>
              <w:t>个人隐私如何保护也是国家法律完善中的重要内容。</w:t>
            </w:r>
          </w:p>
        </w:tc>
        <w:tc>
          <w:tcPr>
            <w:tcW w:w="2976" w:type="dxa"/>
          </w:tcPr>
          <w:p w:rsidR="00E35A3F" w:rsidRPr="00161257" w:rsidRDefault="00E35A3F" w:rsidP="00D149FA">
            <w:pPr>
              <w:rPr>
                <w:rFonts w:asciiTheme="minorEastAsia" w:hAnsiTheme="minorEastAsia"/>
                <w:sz w:val="20"/>
                <w:szCs w:val="20"/>
              </w:rPr>
            </w:pPr>
            <w:r w:rsidRPr="00161257">
              <w:rPr>
                <w:rFonts w:asciiTheme="minorEastAsia" w:hAnsiTheme="minorEastAsia" w:hint="eastAsia"/>
                <w:sz w:val="20"/>
                <w:szCs w:val="20"/>
              </w:rPr>
              <w:t>互联网隐私保护问题现状</w:t>
            </w:r>
          </w:p>
          <w:p w:rsidR="00E35A3F" w:rsidRPr="00161257" w:rsidRDefault="00E35A3F" w:rsidP="00D149FA">
            <w:pPr>
              <w:rPr>
                <w:rFonts w:asciiTheme="minorEastAsia" w:hAnsiTheme="minorEastAsia"/>
                <w:sz w:val="20"/>
                <w:szCs w:val="20"/>
              </w:rPr>
            </w:pPr>
            <w:r w:rsidRPr="00161257">
              <w:rPr>
                <w:rFonts w:asciiTheme="minorEastAsia" w:hAnsiTheme="minorEastAsia" w:hint="eastAsia"/>
                <w:sz w:val="20"/>
                <w:szCs w:val="20"/>
              </w:rPr>
              <w:t xml:space="preserve">  互联网服务商的现行隐私权政策的问题</w:t>
            </w:r>
          </w:p>
          <w:p w:rsidR="00E35A3F" w:rsidRPr="00161257" w:rsidRDefault="00E35A3F" w:rsidP="00D149FA">
            <w:pPr>
              <w:rPr>
                <w:rFonts w:asciiTheme="minorEastAsia" w:hAnsiTheme="minorEastAsia"/>
                <w:sz w:val="20"/>
                <w:szCs w:val="20"/>
              </w:rPr>
            </w:pPr>
            <w:r w:rsidRPr="00161257">
              <w:rPr>
                <w:rFonts w:asciiTheme="minorEastAsia" w:hAnsiTheme="minorEastAsia" w:hint="eastAsia"/>
                <w:sz w:val="20"/>
                <w:szCs w:val="20"/>
              </w:rPr>
              <w:t xml:space="preserve">  各国对隐私权保护的法律、政策与公民意识</w:t>
            </w:r>
          </w:p>
          <w:p w:rsidR="005260E0" w:rsidRPr="00161257" w:rsidRDefault="00E35A3F" w:rsidP="00D149FA">
            <w:pPr>
              <w:rPr>
                <w:rFonts w:asciiTheme="minorEastAsia" w:hAnsiTheme="minorEastAsia"/>
                <w:sz w:val="20"/>
                <w:szCs w:val="20"/>
              </w:rPr>
            </w:pPr>
            <w:r w:rsidRPr="00161257">
              <w:rPr>
                <w:rFonts w:asciiTheme="minorEastAsia" w:hAnsiTheme="minorEastAsia" w:hint="eastAsia"/>
                <w:sz w:val="20"/>
                <w:szCs w:val="20"/>
              </w:rPr>
              <w:t xml:space="preserve">  中国对隐私权保护的法律保障</w:t>
            </w:r>
          </w:p>
        </w:tc>
        <w:tc>
          <w:tcPr>
            <w:tcW w:w="883" w:type="dxa"/>
            <w:gridSpan w:val="2"/>
          </w:tcPr>
          <w:p w:rsidR="005260E0" w:rsidRPr="00161257" w:rsidRDefault="00E35A3F" w:rsidP="0022198E">
            <w:pPr>
              <w:rPr>
                <w:rFonts w:asciiTheme="minorEastAsia" w:hAnsiTheme="minorEastAsia"/>
                <w:sz w:val="20"/>
                <w:szCs w:val="20"/>
              </w:rPr>
            </w:pPr>
            <w:r w:rsidRPr="00161257">
              <w:rPr>
                <w:rFonts w:asciiTheme="minorEastAsia" w:hAnsiTheme="minorEastAsia" w:hint="eastAsia"/>
                <w:sz w:val="20"/>
                <w:szCs w:val="20"/>
              </w:rPr>
              <w:t>有</w:t>
            </w:r>
          </w:p>
        </w:tc>
      </w:tr>
      <w:tr w:rsidR="005260E0" w:rsidRPr="00161257" w:rsidTr="00891CFB">
        <w:tblPrEx>
          <w:tblLook w:val="0000" w:firstRow="0" w:lastRow="0" w:firstColumn="0" w:lastColumn="0" w:noHBand="0" w:noVBand="0"/>
        </w:tblPrEx>
        <w:trPr>
          <w:trHeight w:val="910"/>
        </w:trPr>
        <w:tc>
          <w:tcPr>
            <w:tcW w:w="1961" w:type="dxa"/>
          </w:tcPr>
          <w:p w:rsidR="005260E0" w:rsidRPr="0016578D" w:rsidRDefault="003652F5" w:rsidP="00D149FA">
            <w:pPr>
              <w:rPr>
                <w:rFonts w:asciiTheme="minorEastAsia" w:hAnsiTheme="minorEastAsia"/>
                <w:sz w:val="24"/>
                <w:szCs w:val="24"/>
              </w:rPr>
            </w:pPr>
            <w:r w:rsidRPr="0016578D">
              <w:rPr>
                <w:rFonts w:asciiTheme="minorEastAsia" w:hAnsiTheme="minorEastAsia" w:hint="eastAsia"/>
                <w:sz w:val="24"/>
                <w:szCs w:val="24"/>
              </w:rPr>
              <w:t>传媒娱乐产业中的版权许可协议研究</w:t>
            </w:r>
          </w:p>
        </w:tc>
        <w:tc>
          <w:tcPr>
            <w:tcW w:w="2542" w:type="dxa"/>
          </w:tcPr>
          <w:p w:rsidR="005260E0" w:rsidRPr="00161257" w:rsidRDefault="003652F5" w:rsidP="00D149FA">
            <w:pPr>
              <w:rPr>
                <w:rFonts w:asciiTheme="minorEastAsia" w:hAnsiTheme="minorEastAsia"/>
                <w:sz w:val="20"/>
                <w:szCs w:val="20"/>
              </w:rPr>
            </w:pPr>
            <w:r w:rsidRPr="00161257">
              <w:rPr>
                <w:rFonts w:asciiTheme="minorEastAsia" w:hAnsiTheme="minorEastAsia" w:hint="eastAsia"/>
                <w:sz w:val="20"/>
                <w:szCs w:val="20"/>
              </w:rPr>
              <w:t>各类传媒娱乐版权许可合同分析</w:t>
            </w:r>
          </w:p>
        </w:tc>
        <w:tc>
          <w:tcPr>
            <w:tcW w:w="2976" w:type="dxa"/>
          </w:tcPr>
          <w:p w:rsidR="005260E0" w:rsidRPr="00161257" w:rsidRDefault="003652F5" w:rsidP="00D149FA">
            <w:pPr>
              <w:rPr>
                <w:rFonts w:asciiTheme="minorEastAsia" w:hAnsiTheme="minorEastAsia"/>
                <w:sz w:val="20"/>
                <w:szCs w:val="20"/>
              </w:rPr>
            </w:pPr>
            <w:r w:rsidRPr="00161257">
              <w:rPr>
                <w:rFonts w:asciiTheme="minorEastAsia" w:hAnsiTheme="minorEastAsia" w:hint="eastAsia"/>
                <w:sz w:val="20"/>
                <w:szCs w:val="20"/>
              </w:rPr>
              <w:t>实证研究</w:t>
            </w:r>
          </w:p>
        </w:tc>
        <w:tc>
          <w:tcPr>
            <w:tcW w:w="883" w:type="dxa"/>
            <w:gridSpan w:val="2"/>
          </w:tcPr>
          <w:p w:rsidR="005260E0" w:rsidRPr="00161257" w:rsidRDefault="003652F5" w:rsidP="0022198E">
            <w:pPr>
              <w:rPr>
                <w:rFonts w:asciiTheme="minorEastAsia" w:hAnsiTheme="minorEastAsia"/>
                <w:sz w:val="20"/>
                <w:szCs w:val="20"/>
              </w:rPr>
            </w:pPr>
            <w:r w:rsidRPr="00161257">
              <w:rPr>
                <w:rFonts w:asciiTheme="minorEastAsia" w:hAnsiTheme="minorEastAsia" w:hint="eastAsia"/>
                <w:sz w:val="20"/>
                <w:szCs w:val="20"/>
              </w:rPr>
              <w:t>有</w:t>
            </w:r>
          </w:p>
        </w:tc>
      </w:tr>
      <w:tr w:rsidR="008213EA" w:rsidRPr="00161257" w:rsidTr="00161257">
        <w:tblPrEx>
          <w:tblLook w:val="0000" w:firstRow="0" w:lastRow="0" w:firstColumn="0" w:lastColumn="0" w:noHBand="0" w:noVBand="0"/>
        </w:tblPrEx>
        <w:trPr>
          <w:trHeight w:val="1050"/>
        </w:trPr>
        <w:tc>
          <w:tcPr>
            <w:tcW w:w="1961" w:type="dxa"/>
          </w:tcPr>
          <w:p w:rsidR="008213EA" w:rsidRPr="0016578D" w:rsidRDefault="008213EA" w:rsidP="00D149FA">
            <w:pPr>
              <w:rPr>
                <w:rFonts w:asciiTheme="minorEastAsia" w:hAnsiTheme="minorEastAsia"/>
                <w:sz w:val="24"/>
                <w:szCs w:val="24"/>
              </w:rPr>
            </w:pPr>
            <w:r w:rsidRPr="0016578D">
              <w:rPr>
                <w:rFonts w:asciiTheme="minorEastAsia" w:hAnsiTheme="minorEastAsia" w:hint="eastAsia"/>
                <w:sz w:val="24"/>
                <w:szCs w:val="24"/>
              </w:rPr>
              <w:t>全球储能电池技术的产业分布及专利竞争力分析</w:t>
            </w:r>
          </w:p>
        </w:tc>
        <w:tc>
          <w:tcPr>
            <w:tcW w:w="2542" w:type="dxa"/>
            <w:vMerge w:val="restart"/>
          </w:tcPr>
          <w:p w:rsidR="008213EA" w:rsidRPr="00161257" w:rsidRDefault="008213EA" w:rsidP="00D149FA">
            <w:pPr>
              <w:rPr>
                <w:rFonts w:asciiTheme="minorEastAsia" w:hAnsiTheme="minorEastAsia"/>
                <w:sz w:val="20"/>
                <w:szCs w:val="20"/>
              </w:rPr>
            </w:pPr>
            <w:r w:rsidRPr="00161257">
              <w:rPr>
                <w:rFonts w:asciiTheme="minorEastAsia" w:hAnsiTheme="minorEastAsia" w:hint="eastAsia"/>
                <w:sz w:val="20"/>
                <w:szCs w:val="20"/>
              </w:rPr>
              <w:t>三个课题的要求：</w:t>
            </w:r>
          </w:p>
          <w:p w:rsidR="008213EA" w:rsidRPr="00161257" w:rsidRDefault="008213EA" w:rsidP="00D149FA">
            <w:pPr>
              <w:rPr>
                <w:rFonts w:asciiTheme="minorEastAsia" w:hAnsiTheme="minorEastAsia"/>
                <w:sz w:val="20"/>
                <w:szCs w:val="20"/>
              </w:rPr>
            </w:pPr>
            <w:r w:rsidRPr="00161257">
              <w:rPr>
                <w:rFonts w:asciiTheme="minorEastAsia" w:hAnsiTheme="minorEastAsia" w:hint="eastAsia"/>
                <w:sz w:val="20"/>
                <w:szCs w:val="20"/>
              </w:rPr>
              <w:t>将全球产业中的专利分布、对技术标准的控制、相关专利政策及诉讼情况进行分析</w:t>
            </w:r>
          </w:p>
        </w:tc>
        <w:tc>
          <w:tcPr>
            <w:tcW w:w="2976" w:type="dxa"/>
          </w:tcPr>
          <w:p w:rsidR="008213EA" w:rsidRPr="00161257" w:rsidRDefault="008213EA" w:rsidP="00D149FA">
            <w:pPr>
              <w:rPr>
                <w:rFonts w:asciiTheme="minorEastAsia" w:hAnsiTheme="minorEastAsia"/>
                <w:sz w:val="20"/>
                <w:szCs w:val="20"/>
              </w:rPr>
            </w:pPr>
          </w:p>
        </w:tc>
        <w:tc>
          <w:tcPr>
            <w:tcW w:w="883" w:type="dxa"/>
            <w:gridSpan w:val="2"/>
          </w:tcPr>
          <w:p w:rsidR="008213EA" w:rsidRPr="00161257" w:rsidRDefault="008213EA" w:rsidP="00D149FA">
            <w:pPr>
              <w:rPr>
                <w:rFonts w:asciiTheme="minorEastAsia" w:hAnsiTheme="minorEastAsia"/>
                <w:sz w:val="20"/>
                <w:szCs w:val="20"/>
              </w:rPr>
            </w:pPr>
          </w:p>
        </w:tc>
      </w:tr>
      <w:tr w:rsidR="008213EA" w:rsidRPr="00161257" w:rsidTr="00161257">
        <w:tblPrEx>
          <w:tblLook w:val="0000" w:firstRow="0" w:lastRow="0" w:firstColumn="0" w:lastColumn="0" w:noHBand="0" w:noVBand="0"/>
        </w:tblPrEx>
        <w:trPr>
          <w:trHeight w:val="1140"/>
        </w:trPr>
        <w:tc>
          <w:tcPr>
            <w:tcW w:w="1961" w:type="dxa"/>
          </w:tcPr>
          <w:p w:rsidR="008213EA" w:rsidRPr="0016578D" w:rsidRDefault="008213EA" w:rsidP="00D149FA">
            <w:pPr>
              <w:rPr>
                <w:rFonts w:asciiTheme="minorEastAsia" w:hAnsiTheme="minorEastAsia"/>
                <w:sz w:val="24"/>
                <w:szCs w:val="24"/>
              </w:rPr>
            </w:pPr>
            <w:r w:rsidRPr="0016578D">
              <w:rPr>
                <w:rFonts w:asciiTheme="minorEastAsia" w:hAnsiTheme="minorEastAsia" w:hint="eastAsia"/>
                <w:sz w:val="24"/>
                <w:szCs w:val="24"/>
              </w:rPr>
              <w:t>全球LED产业专利与技术标准现状及竞争力分析</w:t>
            </w:r>
          </w:p>
        </w:tc>
        <w:tc>
          <w:tcPr>
            <w:tcW w:w="2542" w:type="dxa"/>
            <w:vMerge/>
          </w:tcPr>
          <w:p w:rsidR="008213EA" w:rsidRPr="00161257" w:rsidRDefault="008213EA" w:rsidP="00D149FA">
            <w:pPr>
              <w:rPr>
                <w:rFonts w:asciiTheme="minorEastAsia" w:hAnsiTheme="minorEastAsia"/>
                <w:sz w:val="20"/>
                <w:szCs w:val="20"/>
              </w:rPr>
            </w:pPr>
          </w:p>
        </w:tc>
        <w:tc>
          <w:tcPr>
            <w:tcW w:w="2976" w:type="dxa"/>
          </w:tcPr>
          <w:p w:rsidR="008213EA" w:rsidRPr="00161257" w:rsidRDefault="008213EA" w:rsidP="00D149FA">
            <w:pPr>
              <w:rPr>
                <w:rFonts w:asciiTheme="minorEastAsia" w:hAnsiTheme="minorEastAsia"/>
                <w:sz w:val="20"/>
                <w:szCs w:val="20"/>
              </w:rPr>
            </w:pPr>
          </w:p>
        </w:tc>
        <w:tc>
          <w:tcPr>
            <w:tcW w:w="883" w:type="dxa"/>
            <w:gridSpan w:val="2"/>
          </w:tcPr>
          <w:p w:rsidR="008213EA" w:rsidRPr="00161257" w:rsidRDefault="008213EA" w:rsidP="00D149FA">
            <w:pPr>
              <w:rPr>
                <w:rFonts w:asciiTheme="minorEastAsia" w:hAnsiTheme="minorEastAsia" w:hint="eastAsia"/>
                <w:sz w:val="20"/>
                <w:szCs w:val="20"/>
              </w:rPr>
            </w:pPr>
          </w:p>
        </w:tc>
      </w:tr>
      <w:tr w:rsidR="008213EA" w:rsidRPr="00161257" w:rsidTr="00161257">
        <w:tblPrEx>
          <w:tblLook w:val="0000" w:firstRow="0" w:lastRow="0" w:firstColumn="0" w:lastColumn="0" w:noHBand="0" w:noVBand="0"/>
        </w:tblPrEx>
        <w:trPr>
          <w:trHeight w:val="1380"/>
        </w:trPr>
        <w:tc>
          <w:tcPr>
            <w:tcW w:w="1961" w:type="dxa"/>
          </w:tcPr>
          <w:p w:rsidR="008213EA" w:rsidRPr="0016578D" w:rsidRDefault="008213EA" w:rsidP="00D149FA">
            <w:pPr>
              <w:rPr>
                <w:rFonts w:asciiTheme="minorEastAsia" w:hAnsiTheme="minorEastAsia"/>
                <w:sz w:val="24"/>
                <w:szCs w:val="24"/>
              </w:rPr>
            </w:pPr>
            <w:r w:rsidRPr="0016578D">
              <w:rPr>
                <w:rFonts w:asciiTheme="minorEastAsia" w:hAnsiTheme="minorEastAsia" w:hint="eastAsia"/>
                <w:sz w:val="24"/>
                <w:szCs w:val="24"/>
              </w:rPr>
              <w:lastRenderedPageBreak/>
              <w:t>全球范围内的音、视频技术标准的知识产权政策分析</w:t>
            </w:r>
          </w:p>
        </w:tc>
        <w:tc>
          <w:tcPr>
            <w:tcW w:w="2542" w:type="dxa"/>
            <w:vMerge/>
          </w:tcPr>
          <w:p w:rsidR="008213EA" w:rsidRPr="00161257" w:rsidRDefault="008213EA" w:rsidP="00D149FA">
            <w:pPr>
              <w:rPr>
                <w:rFonts w:asciiTheme="minorEastAsia" w:hAnsiTheme="minorEastAsia"/>
                <w:sz w:val="20"/>
                <w:szCs w:val="20"/>
              </w:rPr>
            </w:pPr>
          </w:p>
        </w:tc>
        <w:tc>
          <w:tcPr>
            <w:tcW w:w="2976" w:type="dxa"/>
          </w:tcPr>
          <w:p w:rsidR="008213EA" w:rsidRPr="00161257" w:rsidRDefault="008213EA" w:rsidP="00D149FA">
            <w:pPr>
              <w:rPr>
                <w:rFonts w:asciiTheme="minorEastAsia" w:hAnsiTheme="minorEastAsia"/>
                <w:sz w:val="20"/>
                <w:szCs w:val="20"/>
              </w:rPr>
            </w:pPr>
          </w:p>
        </w:tc>
        <w:tc>
          <w:tcPr>
            <w:tcW w:w="883" w:type="dxa"/>
            <w:gridSpan w:val="2"/>
          </w:tcPr>
          <w:p w:rsidR="008213EA" w:rsidRPr="00161257" w:rsidRDefault="008213EA" w:rsidP="00D149FA">
            <w:pPr>
              <w:rPr>
                <w:rFonts w:asciiTheme="minorEastAsia" w:hAnsiTheme="minorEastAsia" w:hint="eastAsia"/>
                <w:sz w:val="20"/>
                <w:szCs w:val="20"/>
              </w:rPr>
            </w:pPr>
          </w:p>
        </w:tc>
      </w:tr>
      <w:tr w:rsidR="005260E0" w:rsidRPr="00161257" w:rsidTr="00161257">
        <w:tblPrEx>
          <w:tblLook w:val="0000" w:firstRow="0" w:lastRow="0" w:firstColumn="0" w:lastColumn="0" w:noHBand="0" w:noVBand="0"/>
        </w:tblPrEx>
        <w:trPr>
          <w:gridAfter w:val="1"/>
          <w:wAfter w:w="11" w:type="dxa"/>
          <w:trHeight w:val="1425"/>
        </w:trPr>
        <w:tc>
          <w:tcPr>
            <w:tcW w:w="1961" w:type="dxa"/>
          </w:tcPr>
          <w:p w:rsidR="005260E0" w:rsidRPr="0016578D" w:rsidRDefault="008213EA" w:rsidP="00D149FA">
            <w:pPr>
              <w:rPr>
                <w:rFonts w:asciiTheme="minorEastAsia" w:hAnsiTheme="minorEastAsia"/>
                <w:sz w:val="24"/>
                <w:szCs w:val="24"/>
              </w:rPr>
            </w:pPr>
            <w:r w:rsidRPr="0016578D">
              <w:rPr>
                <w:rFonts w:asciiTheme="minorEastAsia" w:hAnsiTheme="minorEastAsia" w:hint="eastAsia"/>
                <w:sz w:val="24"/>
                <w:szCs w:val="24"/>
              </w:rPr>
              <w:t>民事司法领域中同案同判的识别标准</w:t>
            </w:r>
          </w:p>
        </w:tc>
        <w:tc>
          <w:tcPr>
            <w:tcW w:w="2542" w:type="dxa"/>
          </w:tcPr>
          <w:p w:rsidR="005260E0" w:rsidRPr="00161257" w:rsidRDefault="008213EA" w:rsidP="00D149FA">
            <w:pPr>
              <w:rPr>
                <w:rFonts w:asciiTheme="minorEastAsia" w:hAnsiTheme="minorEastAsia"/>
                <w:sz w:val="20"/>
                <w:szCs w:val="20"/>
              </w:rPr>
            </w:pPr>
            <w:r w:rsidRPr="00161257">
              <w:rPr>
                <w:rFonts w:asciiTheme="minorEastAsia" w:hAnsiTheme="minorEastAsia" w:hint="eastAsia"/>
                <w:sz w:val="20"/>
                <w:szCs w:val="20"/>
              </w:rPr>
              <w:t>类似案件应当获得类似的处理</w:t>
            </w:r>
            <w:proofErr w:type="gramStart"/>
            <w:r w:rsidRPr="00161257">
              <w:rPr>
                <w:rFonts w:asciiTheme="minorEastAsia" w:hAnsiTheme="minorEastAsia" w:hint="eastAsia"/>
                <w:sz w:val="20"/>
                <w:szCs w:val="20"/>
              </w:rPr>
              <w:t>”</w:t>
            </w:r>
            <w:proofErr w:type="gramEnd"/>
            <w:r w:rsidRPr="00161257">
              <w:rPr>
                <w:rFonts w:asciiTheme="minorEastAsia" w:hAnsiTheme="minorEastAsia" w:hint="eastAsia"/>
                <w:sz w:val="20"/>
                <w:szCs w:val="20"/>
              </w:rPr>
              <w:t>不仅是一项重要的形式正义原则，同时也是司法公正的必然要求。至于“何为同案”、“何为异案”无论是在理论上还是在实践中仍存在争议。因此，本课题首先要解决是“同案”和“异案”的判准问题，在此基础上进一步研究两个判决在何种意义上能够归属于同判之列。难点在于如何寻找到较好的研究切入点，同时这又是一个跨学科的课题，研究者需要熟悉法理学及诉讼法等相关的理论学说，方能在研究中得心应手。</w:t>
            </w:r>
          </w:p>
        </w:tc>
        <w:tc>
          <w:tcPr>
            <w:tcW w:w="2976" w:type="dxa"/>
          </w:tcPr>
          <w:p w:rsidR="005260E0" w:rsidRPr="00161257" w:rsidRDefault="008213EA" w:rsidP="00D149FA">
            <w:pPr>
              <w:rPr>
                <w:rFonts w:asciiTheme="minorEastAsia" w:hAnsiTheme="minorEastAsia"/>
                <w:sz w:val="20"/>
                <w:szCs w:val="20"/>
              </w:rPr>
            </w:pPr>
            <w:r w:rsidRPr="00161257">
              <w:rPr>
                <w:rFonts w:asciiTheme="minorEastAsia" w:hAnsiTheme="minorEastAsia" w:hint="eastAsia"/>
                <w:sz w:val="20"/>
                <w:szCs w:val="20"/>
              </w:rPr>
              <w:t>就研究方法而论，需要注意这样几个方面：第一，明确问题意识，注重文献综述，目前学界对本论题已经有了初步的讨论，注重对这些理论成果的吸收和批判；第二，熟悉“类型化”、“类比推理”、“法律争点的整理”等理论，这是本研究所无法绕开的几个理论难点；第三，应当避免讨论的过于抽象化，在分析和论证的过程中注重对案例的使用，尤其是要集中对一定数量的某一类案例进行对比、分析；第四，如果感觉论文题目过大而切入困难，可以通过添加副标题来进一步缩小题目。</w:t>
            </w:r>
          </w:p>
        </w:tc>
        <w:tc>
          <w:tcPr>
            <w:tcW w:w="872" w:type="dxa"/>
          </w:tcPr>
          <w:p w:rsidR="005260E0" w:rsidRPr="00161257" w:rsidRDefault="005260E0" w:rsidP="00D149FA">
            <w:pPr>
              <w:rPr>
                <w:rFonts w:asciiTheme="minorEastAsia" w:hAnsiTheme="minorEastAsia"/>
                <w:sz w:val="20"/>
                <w:szCs w:val="20"/>
              </w:rPr>
            </w:pPr>
          </w:p>
        </w:tc>
      </w:tr>
      <w:tr w:rsidR="0076371B" w:rsidRPr="00161257" w:rsidTr="0016578D">
        <w:tblPrEx>
          <w:tblLook w:val="0000" w:firstRow="0" w:lastRow="0" w:firstColumn="0" w:lastColumn="0" w:noHBand="0" w:noVBand="0"/>
        </w:tblPrEx>
        <w:trPr>
          <w:gridAfter w:val="1"/>
          <w:wAfter w:w="11" w:type="dxa"/>
          <w:trHeight w:val="990"/>
        </w:trPr>
        <w:tc>
          <w:tcPr>
            <w:tcW w:w="1961" w:type="dxa"/>
          </w:tcPr>
          <w:p w:rsidR="0076371B" w:rsidRPr="0016578D" w:rsidRDefault="0076371B" w:rsidP="0076371B">
            <w:pPr>
              <w:rPr>
                <w:rFonts w:asciiTheme="minorEastAsia" w:hAnsiTheme="minorEastAsia"/>
                <w:sz w:val="24"/>
                <w:szCs w:val="24"/>
              </w:rPr>
            </w:pPr>
            <w:r w:rsidRPr="0016578D">
              <w:rPr>
                <w:rFonts w:asciiTheme="minorEastAsia" w:hAnsiTheme="minorEastAsia" w:hint="eastAsia"/>
                <w:sz w:val="24"/>
                <w:szCs w:val="24"/>
              </w:rPr>
              <w:t>论指导性案例的约束力范围或</w:t>
            </w:r>
            <w:bookmarkStart w:id="1" w:name="_GoBack"/>
            <w:bookmarkEnd w:id="1"/>
            <w:r w:rsidRPr="0016578D">
              <w:rPr>
                <w:rFonts w:asciiTheme="minorEastAsia" w:hAnsiTheme="minorEastAsia" w:hint="eastAsia"/>
                <w:sz w:val="24"/>
                <w:szCs w:val="24"/>
              </w:rPr>
              <w:t>论指导性案例的效力定位</w:t>
            </w:r>
          </w:p>
        </w:tc>
        <w:tc>
          <w:tcPr>
            <w:tcW w:w="2542" w:type="dxa"/>
          </w:tcPr>
          <w:p w:rsidR="0076371B" w:rsidRPr="00161257" w:rsidRDefault="0076371B" w:rsidP="00D149FA">
            <w:pPr>
              <w:rPr>
                <w:rFonts w:asciiTheme="minorEastAsia" w:hAnsiTheme="minorEastAsia"/>
                <w:sz w:val="20"/>
                <w:szCs w:val="20"/>
              </w:rPr>
            </w:pPr>
            <w:r w:rsidRPr="00161257">
              <w:rPr>
                <w:rFonts w:asciiTheme="minorEastAsia" w:hAnsiTheme="minorEastAsia" w:hint="eastAsia"/>
                <w:sz w:val="20"/>
                <w:szCs w:val="20"/>
              </w:rPr>
              <w:t>指导性案例在当下面临着“效力”和“方法”两大难题，尤其是对第一个问题学界尚未完全达成一致共识，在某种程度上效力的定位会直接影响到指导性案例的司法适用，因此对第一个问题的研究就显得不仅迫切而且十分必要。对本问题研究实际上涉及到对最高人民法院《关于案例指导工作的规定》中</w:t>
            </w:r>
            <w:proofErr w:type="gramStart"/>
            <w:r w:rsidRPr="00161257">
              <w:rPr>
                <w:rFonts w:asciiTheme="minorEastAsia" w:hAnsiTheme="minorEastAsia" w:hint="eastAsia"/>
                <w:sz w:val="20"/>
                <w:szCs w:val="20"/>
              </w:rPr>
              <w:t>“</w:t>
            </w:r>
            <w:proofErr w:type="gramEnd"/>
            <w:r w:rsidRPr="00161257">
              <w:rPr>
                <w:rFonts w:asciiTheme="minorEastAsia" w:hAnsiTheme="minorEastAsia" w:hint="eastAsia"/>
                <w:sz w:val="20"/>
                <w:szCs w:val="20"/>
              </w:rPr>
              <w:t>应当参照“的理解。每个案件所涉及的法律争点可能非常广泛，相应地被确定为指导性案例后，其所具有的约束力是及于该生效裁判中法院对所有法律争点的立场？还是仅仅及于指导性案例发布机构所归纳的裁判要旨？对此存在三种观点，第一种观点认为指导性案例中具有指导性部分的仅仅是判决</w:t>
            </w:r>
            <w:r w:rsidRPr="00161257">
              <w:rPr>
                <w:rFonts w:asciiTheme="minorEastAsia" w:hAnsiTheme="minorEastAsia" w:hint="eastAsia"/>
                <w:sz w:val="20"/>
                <w:szCs w:val="20"/>
              </w:rPr>
              <w:lastRenderedPageBreak/>
              <w:t>理由（说理的那部分），第二种观点认为裁判要旨对后案的裁判才真正具有约束力，第三种观点认为指导性案例的约束力应当同时包括这两者。</w:t>
            </w:r>
          </w:p>
        </w:tc>
        <w:tc>
          <w:tcPr>
            <w:tcW w:w="2976" w:type="dxa"/>
          </w:tcPr>
          <w:p w:rsidR="0076371B" w:rsidRPr="00161257" w:rsidRDefault="0076371B" w:rsidP="00D149FA">
            <w:pPr>
              <w:rPr>
                <w:rFonts w:asciiTheme="minorEastAsia" w:hAnsiTheme="minorEastAsia"/>
                <w:sz w:val="20"/>
                <w:szCs w:val="20"/>
              </w:rPr>
            </w:pPr>
            <w:r w:rsidRPr="00161257">
              <w:rPr>
                <w:rFonts w:asciiTheme="minorEastAsia" w:hAnsiTheme="minorEastAsia" w:hint="eastAsia"/>
                <w:sz w:val="20"/>
                <w:szCs w:val="20"/>
              </w:rPr>
              <w:lastRenderedPageBreak/>
              <w:t>目前学界对指导性案例的效力争议已进行了卓有成效的研究，因此在研究的过程中要注重对已有学术成果的分析，找准学者们关于指导性案例效力的争议焦点所在。结合现有已发布的四批指导性案例，认真分析其编排结构，尤其是裁判要点和判决理由，在此基础上形成自己关于指导性案例约束力的观点和理论。如果课题研究者感觉论文题目过大而切入困难的话，可以通过添加副标题来</w:t>
            </w:r>
            <w:proofErr w:type="gramStart"/>
            <w:r w:rsidRPr="00161257">
              <w:rPr>
                <w:rFonts w:asciiTheme="minorEastAsia" w:hAnsiTheme="minorEastAsia" w:hint="eastAsia"/>
                <w:sz w:val="20"/>
                <w:szCs w:val="20"/>
              </w:rPr>
              <w:t>进一步限缩题目</w:t>
            </w:r>
            <w:proofErr w:type="gramEnd"/>
            <w:r w:rsidRPr="00161257">
              <w:rPr>
                <w:rFonts w:asciiTheme="minorEastAsia" w:hAnsiTheme="minorEastAsia" w:hint="eastAsia"/>
                <w:sz w:val="20"/>
                <w:szCs w:val="20"/>
              </w:rPr>
              <w:t>。</w:t>
            </w:r>
          </w:p>
        </w:tc>
        <w:tc>
          <w:tcPr>
            <w:tcW w:w="872" w:type="dxa"/>
          </w:tcPr>
          <w:p w:rsidR="0076371B" w:rsidRPr="00161257" w:rsidRDefault="0076371B" w:rsidP="00D149FA">
            <w:pPr>
              <w:rPr>
                <w:rFonts w:asciiTheme="minorEastAsia" w:hAnsiTheme="minorEastAsia"/>
                <w:sz w:val="20"/>
                <w:szCs w:val="20"/>
              </w:rPr>
            </w:pPr>
          </w:p>
        </w:tc>
      </w:tr>
      <w:tr w:rsidR="0076371B" w:rsidRPr="00161257" w:rsidTr="0016578D">
        <w:tblPrEx>
          <w:tblLook w:val="0000" w:firstRow="0" w:lastRow="0" w:firstColumn="0" w:lastColumn="0" w:noHBand="0" w:noVBand="0"/>
        </w:tblPrEx>
        <w:trPr>
          <w:gridAfter w:val="1"/>
          <w:wAfter w:w="11" w:type="dxa"/>
          <w:trHeight w:val="1380"/>
        </w:trPr>
        <w:tc>
          <w:tcPr>
            <w:tcW w:w="1961" w:type="dxa"/>
          </w:tcPr>
          <w:p w:rsidR="0076371B" w:rsidRPr="0016578D" w:rsidRDefault="0076371B" w:rsidP="00D149FA">
            <w:pPr>
              <w:rPr>
                <w:rFonts w:asciiTheme="minorEastAsia" w:hAnsiTheme="minorEastAsia"/>
                <w:sz w:val="24"/>
                <w:szCs w:val="24"/>
              </w:rPr>
            </w:pPr>
            <w:r w:rsidRPr="0016578D">
              <w:rPr>
                <w:rFonts w:asciiTheme="minorEastAsia" w:hAnsiTheme="minorEastAsia" w:hint="eastAsia"/>
                <w:sz w:val="24"/>
                <w:szCs w:val="24"/>
              </w:rPr>
              <w:lastRenderedPageBreak/>
              <w:t>司法裁判中价值判断的形式及限制——以民事裁判（或刑事、或劳动争议、或行政诉讼）为例</w:t>
            </w:r>
          </w:p>
        </w:tc>
        <w:tc>
          <w:tcPr>
            <w:tcW w:w="2542" w:type="dxa"/>
          </w:tcPr>
          <w:p w:rsidR="0076371B" w:rsidRPr="00161257" w:rsidRDefault="0076371B" w:rsidP="0076371B">
            <w:pPr>
              <w:rPr>
                <w:rFonts w:asciiTheme="minorEastAsia" w:hAnsiTheme="minorEastAsia"/>
                <w:sz w:val="20"/>
                <w:szCs w:val="20"/>
              </w:rPr>
            </w:pPr>
            <w:r w:rsidRPr="00161257">
              <w:rPr>
                <w:rFonts w:asciiTheme="minorEastAsia" w:hAnsiTheme="minorEastAsia" w:hint="eastAsia"/>
                <w:sz w:val="20"/>
                <w:szCs w:val="20"/>
              </w:rPr>
              <w:t>“规范与个案”之间的张力是法理学中的一个经典问题，司法裁判中价值判断的介入不仅是一个无法回避的事实，同时也已几近成为学界的共识，然而问题却在于法官有关公正等价值的判断的具体表现形式是什么？以及如何对这种价值判断进行适当的限制？当下法教义学屡遭批评，加上司法实践中疑难案件的频发，因此对于该论题的研究就显得十分迫切而必要。</w:t>
            </w:r>
          </w:p>
          <w:p w:rsidR="0076371B" w:rsidRPr="00161257" w:rsidRDefault="0076371B" w:rsidP="0076371B">
            <w:pPr>
              <w:rPr>
                <w:rFonts w:asciiTheme="minorEastAsia" w:hAnsiTheme="minorEastAsia"/>
                <w:sz w:val="20"/>
                <w:szCs w:val="20"/>
              </w:rPr>
            </w:pPr>
            <w:r w:rsidRPr="00161257">
              <w:rPr>
                <w:rFonts w:asciiTheme="minorEastAsia" w:hAnsiTheme="minorEastAsia" w:hint="eastAsia"/>
                <w:sz w:val="20"/>
                <w:szCs w:val="20"/>
              </w:rPr>
              <w:t>研究者在从事具体的研究中需要注意：首先，对思想史上关于法官自由裁量权、疑难案件、法律方法等有一定的理论认识；其次，需要熟悉司法实践中法官的思维方法、推理技巧，并能够积累一定数量的案件素材，尤其是要借助热点、重大、复杂、疑难案件来辅助分析、研究。只有同时具备这两个方面的素质，才有可能成功地驾驭本项研究。</w:t>
            </w:r>
          </w:p>
        </w:tc>
        <w:tc>
          <w:tcPr>
            <w:tcW w:w="2976" w:type="dxa"/>
          </w:tcPr>
          <w:p w:rsidR="0076371B" w:rsidRPr="00161257" w:rsidRDefault="0076371B" w:rsidP="00D149FA">
            <w:pPr>
              <w:rPr>
                <w:rFonts w:asciiTheme="minorEastAsia" w:hAnsiTheme="minorEastAsia"/>
                <w:sz w:val="20"/>
                <w:szCs w:val="20"/>
              </w:rPr>
            </w:pPr>
            <w:r w:rsidRPr="00161257">
              <w:rPr>
                <w:rFonts w:asciiTheme="minorEastAsia" w:hAnsiTheme="minorEastAsia" w:hint="eastAsia"/>
                <w:sz w:val="20"/>
                <w:szCs w:val="20"/>
              </w:rPr>
              <w:t>就研究方法而言，不宜花过大篇幅来梳理思想史上的内容，本课题最应该出彩的地方，是关于对法官价值判断的限制的部分，尤其是</w:t>
            </w:r>
            <w:proofErr w:type="gramStart"/>
            <w:r w:rsidRPr="00161257">
              <w:rPr>
                <w:rFonts w:asciiTheme="minorEastAsia" w:hAnsiTheme="minorEastAsia" w:hint="eastAsia"/>
                <w:sz w:val="20"/>
                <w:szCs w:val="20"/>
              </w:rPr>
              <w:t>教义学融惯性</w:t>
            </w:r>
            <w:proofErr w:type="gramEnd"/>
            <w:r w:rsidRPr="00161257">
              <w:rPr>
                <w:rFonts w:asciiTheme="minorEastAsia" w:hAnsiTheme="minorEastAsia" w:hint="eastAsia"/>
                <w:sz w:val="20"/>
                <w:szCs w:val="20"/>
              </w:rPr>
              <w:t>与法律论证融贯性之间的关系，以及价值判断的引入对现有法教义学体系所可能损害的最小幅度。因此建议研究者，可以选择以民事法律领域中的某个制度或某类案件作为分析主线来展开，比如</w:t>
            </w:r>
            <w:proofErr w:type="gramStart"/>
            <w:r w:rsidRPr="00161257">
              <w:rPr>
                <w:rFonts w:asciiTheme="minorEastAsia" w:hAnsiTheme="minorEastAsia" w:hint="eastAsia"/>
                <w:sz w:val="20"/>
                <w:szCs w:val="20"/>
              </w:rPr>
              <w:t>“</w:t>
            </w:r>
            <w:proofErr w:type="gramEnd"/>
            <w:r w:rsidRPr="00161257">
              <w:rPr>
                <w:rFonts w:asciiTheme="minorEastAsia" w:hAnsiTheme="minorEastAsia" w:hint="eastAsia"/>
                <w:sz w:val="20"/>
                <w:szCs w:val="20"/>
              </w:rPr>
              <w:t>以诚实信用原则的司法适用为线索</w:t>
            </w:r>
            <w:proofErr w:type="gramStart"/>
            <w:r w:rsidRPr="00161257">
              <w:rPr>
                <w:rFonts w:asciiTheme="minorEastAsia" w:hAnsiTheme="minorEastAsia" w:hint="eastAsia"/>
                <w:sz w:val="20"/>
                <w:szCs w:val="20"/>
              </w:rPr>
              <w:t>“</w:t>
            </w:r>
            <w:proofErr w:type="gramEnd"/>
            <w:r w:rsidRPr="00161257">
              <w:rPr>
                <w:rFonts w:asciiTheme="minorEastAsia" w:hAnsiTheme="minorEastAsia" w:hint="eastAsia"/>
                <w:sz w:val="20"/>
                <w:szCs w:val="20"/>
              </w:rPr>
              <w:t>，如此一来一方面可以贴近司法现实，使得研究成果有血有肉，另一方面使得题目“小而具体”，从而可以相对降低研究难度。此外，如果在研究过程中能够辅之以对法官进行访谈或问卷，无疑会使得这项研究更有意义。</w:t>
            </w:r>
          </w:p>
        </w:tc>
        <w:tc>
          <w:tcPr>
            <w:tcW w:w="872" w:type="dxa"/>
          </w:tcPr>
          <w:p w:rsidR="0076371B" w:rsidRPr="00161257" w:rsidRDefault="0076371B" w:rsidP="00D149FA">
            <w:pPr>
              <w:rPr>
                <w:rFonts w:asciiTheme="minorEastAsia" w:hAnsiTheme="minorEastAsia"/>
                <w:sz w:val="20"/>
                <w:szCs w:val="20"/>
              </w:rPr>
            </w:pPr>
          </w:p>
        </w:tc>
      </w:tr>
      <w:tr w:rsidR="0076371B" w:rsidRPr="00161257" w:rsidTr="0016578D">
        <w:tblPrEx>
          <w:tblLook w:val="0000" w:firstRow="0" w:lastRow="0" w:firstColumn="0" w:lastColumn="0" w:noHBand="0" w:noVBand="0"/>
        </w:tblPrEx>
        <w:trPr>
          <w:gridAfter w:val="1"/>
          <w:wAfter w:w="11" w:type="dxa"/>
          <w:trHeight w:val="2175"/>
        </w:trPr>
        <w:tc>
          <w:tcPr>
            <w:tcW w:w="1961" w:type="dxa"/>
          </w:tcPr>
          <w:p w:rsidR="0076371B" w:rsidRPr="0016578D" w:rsidRDefault="00751188" w:rsidP="00D149FA">
            <w:pPr>
              <w:rPr>
                <w:rFonts w:asciiTheme="minorEastAsia" w:hAnsiTheme="minorEastAsia"/>
                <w:sz w:val="24"/>
                <w:szCs w:val="24"/>
              </w:rPr>
            </w:pPr>
            <w:r w:rsidRPr="0016578D">
              <w:rPr>
                <w:rFonts w:asciiTheme="minorEastAsia" w:hAnsiTheme="minorEastAsia" w:hint="eastAsia"/>
                <w:sz w:val="24"/>
                <w:szCs w:val="24"/>
              </w:rPr>
              <w:t>国家为什么参加国际人权公约</w:t>
            </w:r>
          </w:p>
        </w:tc>
        <w:tc>
          <w:tcPr>
            <w:tcW w:w="2542" w:type="dxa"/>
          </w:tcPr>
          <w:p w:rsidR="00751188" w:rsidRPr="00161257" w:rsidRDefault="00751188" w:rsidP="00751188">
            <w:pPr>
              <w:rPr>
                <w:rFonts w:asciiTheme="minorEastAsia" w:hAnsiTheme="minorEastAsia"/>
                <w:sz w:val="20"/>
                <w:szCs w:val="20"/>
              </w:rPr>
            </w:pPr>
            <w:r w:rsidRPr="00161257">
              <w:rPr>
                <w:rFonts w:asciiTheme="minorEastAsia" w:hAnsiTheme="minorEastAsia" w:hint="eastAsia"/>
                <w:sz w:val="20"/>
                <w:szCs w:val="20"/>
              </w:rPr>
              <w:t>联合国大会通过了许多国际人权公约，其中“核心公约”也已经有9个，中国参加了至少26个国际人权公约，包括6个核心公约。特别是联合国两个人权公约，参加国（即批准了公约的国家）已经达到世界国家总数的绝大多数。核心公约中的《儿童权利公约》已经有190多个国家参加。但是国</w:t>
            </w:r>
            <w:r w:rsidRPr="00161257">
              <w:rPr>
                <w:rFonts w:asciiTheme="minorEastAsia" w:hAnsiTheme="minorEastAsia" w:hint="eastAsia"/>
                <w:sz w:val="20"/>
                <w:szCs w:val="20"/>
              </w:rPr>
              <w:lastRenderedPageBreak/>
              <w:t>家为什么参加这些公约呢？只是为了好的国际形象吗？不过也不能排除这种可能。因此，从国际法的角度研究一下这个问题具有非常重要的意义。</w:t>
            </w:r>
          </w:p>
          <w:p w:rsidR="0076371B" w:rsidRPr="00161257" w:rsidRDefault="00751188" w:rsidP="00751188">
            <w:pPr>
              <w:rPr>
                <w:rFonts w:asciiTheme="minorEastAsia" w:hAnsiTheme="minorEastAsia"/>
                <w:sz w:val="20"/>
                <w:szCs w:val="20"/>
              </w:rPr>
            </w:pPr>
            <w:r w:rsidRPr="00161257">
              <w:rPr>
                <w:rFonts w:asciiTheme="minorEastAsia" w:hAnsiTheme="minorEastAsia" w:hint="eastAsia"/>
                <w:sz w:val="20"/>
                <w:szCs w:val="20"/>
              </w:rPr>
              <w:t>研究的难点是：国家参加国际人权公约的目的很难从书面找到答案，要考察国家参加之后的行为。</w:t>
            </w:r>
          </w:p>
        </w:tc>
        <w:tc>
          <w:tcPr>
            <w:tcW w:w="2976" w:type="dxa"/>
          </w:tcPr>
          <w:p w:rsidR="0076371B" w:rsidRPr="00161257" w:rsidRDefault="00751188" w:rsidP="00D149FA">
            <w:pPr>
              <w:rPr>
                <w:rFonts w:asciiTheme="minorEastAsia" w:hAnsiTheme="minorEastAsia"/>
                <w:sz w:val="20"/>
                <w:szCs w:val="20"/>
              </w:rPr>
            </w:pPr>
            <w:r w:rsidRPr="00161257">
              <w:rPr>
                <w:rFonts w:asciiTheme="minorEastAsia" w:hAnsiTheme="minorEastAsia" w:hint="eastAsia"/>
                <w:sz w:val="20"/>
                <w:szCs w:val="20"/>
              </w:rPr>
              <w:lastRenderedPageBreak/>
              <w:t>应采用实证研究方法，挑选几个国家，以三到五个为宜，对其参加公约后的行为进行实证研究，以数据说明问题。</w:t>
            </w:r>
          </w:p>
        </w:tc>
        <w:tc>
          <w:tcPr>
            <w:tcW w:w="872" w:type="dxa"/>
          </w:tcPr>
          <w:p w:rsidR="0076371B" w:rsidRPr="00161257" w:rsidRDefault="0022198E" w:rsidP="00D149FA">
            <w:pPr>
              <w:rPr>
                <w:rFonts w:asciiTheme="minorEastAsia" w:hAnsiTheme="minorEastAsia" w:hint="eastAsia"/>
                <w:sz w:val="20"/>
                <w:szCs w:val="20"/>
              </w:rPr>
            </w:pPr>
            <w:r>
              <w:rPr>
                <w:rFonts w:asciiTheme="minorEastAsia" w:hAnsiTheme="minorEastAsia" w:hint="eastAsia"/>
                <w:sz w:val="20"/>
                <w:szCs w:val="20"/>
              </w:rPr>
              <w:t>有</w:t>
            </w:r>
          </w:p>
        </w:tc>
      </w:tr>
      <w:bookmarkEnd w:id="0"/>
    </w:tbl>
    <w:p w:rsidR="00564893" w:rsidRPr="00161257" w:rsidRDefault="00564893">
      <w:pPr>
        <w:rPr>
          <w:rFonts w:asciiTheme="minorEastAsia" w:hAnsiTheme="minorEastAsia"/>
          <w:sz w:val="20"/>
          <w:szCs w:val="20"/>
        </w:rPr>
      </w:pPr>
    </w:p>
    <w:sectPr w:rsidR="00564893" w:rsidRPr="00161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2C"/>
    <w:rsid w:val="00024B2A"/>
    <w:rsid w:val="00043151"/>
    <w:rsid w:val="000C2F88"/>
    <w:rsid w:val="00161257"/>
    <w:rsid w:val="0016578D"/>
    <w:rsid w:val="001A2E7F"/>
    <w:rsid w:val="001D3FF5"/>
    <w:rsid w:val="0022198E"/>
    <w:rsid w:val="003652F5"/>
    <w:rsid w:val="005260E0"/>
    <w:rsid w:val="00564893"/>
    <w:rsid w:val="00751188"/>
    <w:rsid w:val="0076371B"/>
    <w:rsid w:val="008213EA"/>
    <w:rsid w:val="00891CFB"/>
    <w:rsid w:val="00B03FC3"/>
    <w:rsid w:val="00B618B9"/>
    <w:rsid w:val="00CB7A2C"/>
    <w:rsid w:val="00CF4724"/>
    <w:rsid w:val="00D149FA"/>
    <w:rsid w:val="00DF4E20"/>
    <w:rsid w:val="00E3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3461B-114A-4F3F-B00A-BA733667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CF4724"/>
    <w:rPr>
      <w:color w:val="0000FF"/>
      <w:u w:val="single"/>
    </w:rPr>
  </w:style>
  <w:style w:type="paragraph" w:customStyle="1" w:styleId="p17">
    <w:name w:val="p17"/>
    <w:basedOn w:val="a"/>
    <w:rsid w:val="00CF4724"/>
    <w:pPr>
      <w:widowControl/>
      <w:jc w:val="left"/>
    </w:pPr>
    <w:rPr>
      <w:rFonts w:ascii="Calibri" w:eastAsia="宋体" w:hAnsi="Calibri" w:cs="宋体"/>
      <w:kern w:val="0"/>
      <w:sz w:val="18"/>
      <w:szCs w:val="18"/>
    </w:rPr>
  </w:style>
  <w:style w:type="character" w:customStyle="1" w:styleId="16">
    <w:name w:val="16"/>
    <w:basedOn w:val="a0"/>
    <w:rsid w:val="00CF4724"/>
    <w:rPr>
      <w:rFonts w:ascii="Times New Roman" w:hAnsi="Times New Roman" w:cs="Times New Roman" w:hint="default"/>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pub.cnki.net/grid2008/brief/detailj.aspx?&amp;dbCode=&amp;index=&amp;QueryID=6&amp;CurRec=5" TargetMode="External"/><Relationship Id="rId4" Type="http://schemas.openxmlformats.org/officeDocument/2006/relationships/hyperlink" Target="http://cws.mc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5</Pages>
  <Words>515</Words>
  <Characters>2938</Characters>
  <Application>Microsoft Office Word</Application>
  <DocSecurity>0</DocSecurity>
  <Lines>24</Lines>
  <Paragraphs>6</Paragraphs>
  <ScaleCrop>false</ScaleCrop>
  <Company>Microsoft</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2013-10-23T14:24:00Z</dcterms:created>
  <dcterms:modified xsi:type="dcterms:W3CDTF">2013-10-24T03:53:00Z</dcterms:modified>
</cp:coreProperties>
</file>