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CB" w:rsidRDefault="00791ACB" w:rsidP="00791ACB">
      <w:pPr>
        <w:spacing w:line="560" w:lineRule="exact"/>
        <w:jc w:val="left"/>
        <w:rPr>
          <w:rFonts w:ascii="仿宋_GB2312" w:eastAsia="仿宋_GB2312" w:hAnsi="黑体" w:cs="华文仿宋"/>
          <w:sz w:val="32"/>
          <w:szCs w:val="32"/>
        </w:rPr>
      </w:pPr>
      <w:r>
        <w:rPr>
          <w:rFonts w:ascii="仿宋_GB2312" w:eastAsia="仿宋_GB2312" w:hAnsi="黑体" w:cs="华文仿宋" w:hint="eastAsia"/>
          <w:sz w:val="32"/>
          <w:szCs w:val="32"/>
        </w:rPr>
        <w:t>附件1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789"/>
        <w:gridCol w:w="958"/>
        <w:gridCol w:w="1636"/>
        <w:gridCol w:w="1636"/>
        <w:gridCol w:w="2387"/>
        <w:gridCol w:w="445"/>
      </w:tblGrid>
      <w:tr w:rsidR="00791ACB" w:rsidRPr="005A6B1E" w:rsidTr="009B29CE">
        <w:trPr>
          <w:trHeight w:val="540"/>
          <w:jc w:val="center"/>
        </w:trPr>
        <w:tc>
          <w:tcPr>
            <w:tcW w:w="8608" w:type="dxa"/>
            <w:gridSpan w:val="7"/>
            <w:noWrap/>
            <w:hideMark/>
          </w:tcPr>
          <w:p w:rsidR="00791ACB" w:rsidRPr="005A6B1E" w:rsidRDefault="00791ACB" w:rsidP="009B29CE">
            <w:pPr>
              <w:spacing w:line="560" w:lineRule="exact"/>
              <w:jc w:val="center"/>
              <w:rPr>
                <w:rFonts w:ascii="仿宋_GB2312" w:eastAsia="仿宋_GB2312" w:hAnsi="黑体" w:cs="华文仿宋"/>
                <w:sz w:val="32"/>
                <w:szCs w:val="32"/>
              </w:rPr>
            </w:pPr>
            <w:r w:rsidRPr="005A6B1E">
              <w:rPr>
                <w:rFonts w:ascii="仿宋_GB2312" w:eastAsia="仿宋_GB2312" w:hAnsi="黑体" w:cs="华文仿宋" w:hint="eastAsia"/>
                <w:sz w:val="32"/>
                <w:szCs w:val="32"/>
              </w:rPr>
              <w:t>北京冬奥组委第三批前期驻会志愿者岗位清单</w:t>
            </w:r>
          </w:p>
        </w:tc>
      </w:tr>
      <w:tr w:rsidR="00791ACB" w:rsidRPr="005A6B1E" w:rsidTr="009B29CE">
        <w:trPr>
          <w:trHeight w:val="570"/>
          <w:jc w:val="center"/>
        </w:trPr>
        <w:tc>
          <w:tcPr>
            <w:tcW w:w="456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序号</w:t>
            </w:r>
          </w:p>
        </w:tc>
        <w:tc>
          <w:tcPr>
            <w:tcW w:w="815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来源高校</w:t>
            </w:r>
          </w:p>
        </w:tc>
        <w:tc>
          <w:tcPr>
            <w:tcW w:w="992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用人部门</w:t>
            </w:r>
          </w:p>
        </w:tc>
        <w:tc>
          <w:tcPr>
            <w:tcW w:w="1701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岗位名称</w:t>
            </w:r>
          </w:p>
        </w:tc>
        <w:tc>
          <w:tcPr>
            <w:tcW w:w="1701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岗位描述</w:t>
            </w:r>
          </w:p>
        </w:tc>
        <w:tc>
          <w:tcPr>
            <w:tcW w:w="2487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招募条件</w:t>
            </w:r>
          </w:p>
        </w:tc>
        <w:tc>
          <w:tcPr>
            <w:tcW w:w="456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数量</w:t>
            </w:r>
          </w:p>
        </w:tc>
      </w:tr>
      <w:tr w:rsidR="00791ACB" w:rsidRPr="005A6B1E" w:rsidTr="009B29CE">
        <w:trPr>
          <w:trHeight w:val="570"/>
          <w:jc w:val="center"/>
        </w:trPr>
        <w:tc>
          <w:tcPr>
            <w:tcW w:w="456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1</w:t>
            </w:r>
          </w:p>
        </w:tc>
        <w:tc>
          <w:tcPr>
            <w:tcW w:w="815" w:type="dxa"/>
            <w:vMerge w:val="restart"/>
            <w:vAlign w:val="center"/>
            <w:hideMark/>
          </w:tcPr>
          <w:p w:rsidR="00791ACB" w:rsidRPr="005A6B1E" w:rsidRDefault="00791ACB" w:rsidP="009B29CE">
            <w:pPr>
              <w:spacing w:line="560" w:lineRule="exact"/>
              <w:jc w:val="center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北京大学</w:t>
            </w:r>
          </w:p>
        </w:tc>
        <w:tc>
          <w:tcPr>
            <w:tcW w:w="992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法律事务部</w:t>
            </w:r>
          </w:p>
        </w:tc>
        <w:tc>
          <w:tcPr>
            <w:tcW w:w="1701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综合协调助理</w:t>
            </w:r>
          </w:p>
        </w:tc>
        <w:tc>
          <w:tcPr>
            <w:tcW w:w="1701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协助进行法</w:t>
            </w:r>
            <w:proofErr w:type="gramStart"/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务</w:t>
            </w:r>
            <w:proofErr w:type="gramEnd"/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协调、公文办理等。</w:t>
            </w:r>
          </w:p>
        </w:tc>
        <w:tc>
          <w:tcPr>
            <w:tcW w:w="2487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在读研究生，法学专业，英语六级及以上水平。</w:t>
            </w:r>
          </w:p>
        </w:tc>
        <w:tc>
          <w:tcPr>
            <w:tcW w:w="456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1</w:t>
            </w:r>
          </w:p>
        </w:tc>
      </w:tr>
      <w:tr w:rsidR="00791ACB" w:rsidRPr="005A6B1E" w:rsidTr="009B29CE">
        <w:trPr>
          <w:trHeight w:val="570"/>
          <w:jc w:val="center"/>
        </w:trPr>
        <w:tc>
          <w:tcPr>
            <w:tcW w:w="456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2</w:t>
            </w:r>
          </w:p>
        </w:tc>
        <w:tc>
          <w:tcPr>
            <w:tcW w:w="815" w:type="dxa"/>
            <w:vMerge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法律事务部</w:t>
            </w:r>
          </w:p>
        </w:tc>
        <w:tc>
          <w:tcPr>
            <w:tcW w:w="1701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权益保护助理</w:t>
            </w:r>
          </w:p>
        </w:tc>
        <w:tc>
          <w:tcPr>
            <w:tcW w:w="1701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协助监控侵权行为，做好测试</w:t>
            </w:r>
            <w:proofErr w:type="gramStart"/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赛相关</w:t>
            </w:r>
            <w:proofErr w:type="gramEnd"/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工作。</w:t>
            </w:r>
          </w:p>
        </w:tc>
        <w:tc>
          <w:tcPr>
            <w:tcW w:w="2487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在读研究生，法学专业（知识产权法优先），英语六级及以上水平。</w:t>
            </w:r>
          </w:p>
        </w:tc>
        <w:tc>
          <w:tcPr>
            <w:tcW w:w="456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1</w:t>
            </w:r>
          </w:p>
        </w:tc>
      </w:tr>
      <w:tr w:rsidR="00791ACB" w:rsidRPr="005A6B1E" w:rsidTr="009B29CE">
        <w:trPr>
          <w:trHeight w:val="1140"/>
          <w:jc w:val="center"/>
        </w:trPr>
        <w:tc>
          <w:tcPr>
            <w:tcW w:w="456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3</w:t>
            </w:r>
          </w:p>
        </w:tc>
        <w:tc>
          <w:tcPr>
            <w:tcW w:w="815" w:type="dxa"/>
            <w:vMerge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法律事务部</w:t>
            </w:r>
          </w:p>
        </w:tc>
        <w:tc>
          <w:tcPr>
            <w:tcW w:w="1701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法</w:t>
            </w:r>
            <w:proofErr w:type="gramStart"/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务</w:t>
            </w:r>
            <w:proofErr w:type="gramEnd"/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审核助理</w:t>
            </w:r>
          </w:p>
        </w:tc>
        <w:tc>
          <w:tcPr>
            <w:tcW w:w="1701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协助进行日常合同档案整理、协议审阅等。</w:t>
            </w:r>
          </w:p>
        </w:tc>
        <w:tc>
          <w:tcPr>
            <w:tcW w:w="2487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在读研究生，民商法、经济法或国际经济法相关专业，英语水平满足以下条件之一：六级考试560分以上；托福100分以上；</w:t>
            </w:r>
            <w:proofErr w:type="gramStart"/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雅思7分</w:t>
            </w:r>
            <w:proofErr w:type="gramEnd"/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以上。</w:t>
            </w:r>
          </w:p>
        </w:tc>
        <w:tc>
          <w:tcPr>
            <w:tcW w:w="456" w:type="dxa"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1</w:t>
            </w:r>
          </w:p>
        </w:tc>
      </w:tr>
      <w:tr w:rsidR="00791ACB" w:rsidRPr="005A6B1E" w:rsidTr="009B29CE">
        <w:trPr>
          <w:trHeight w:val="270"/>
          <w:jc w:val="center"/>
        </w:trPr>
        <w:tc>
          <w:tcPr>
            <w:tcW w:w="8152" w:type="dxa"/>
            <w:gridSpan w:val="6"/>
            <w:noWrap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总计</w:t>
            </w:r>
          </w:p>
        </w:tc>
        <w:tc>
          <w:tcPr>
            <w:tcW w:w="456" w:type="dxa"/>
            <w:noWrap/>
            <w:hideMark/>
          </w:tcPr>
          <w:p w:rsidR="00791ACB" w:rsidRPr="005A6B1E" w:rsidRDefault="00791ACB" w:rsidP="009B29CE">
            <w:pPr>
              <w:spacing w:line="560" w:lineRule="exact"/>
              <w:jc w:val="left"/>
              <w:rPr>
                <w:rFonts w:ascii="仿宋_GB2312" w:eastAsia="仿宋_GB2312" w:hAnsi="黑体" w:cs="华文仿宋"/>
                <w:sz w:val="24"/>
                <w:szCs w:val="24"/>
              </w:rPr>
            </w:pPr>
            <w:r w:rsidRPr="005A6B1E">
              <w:rPr>
                <w:rFonts w:ascii="仿宋_GB2312" w:eastAsia="仿宋_GB2312" w:hAnsi="黑体" w:cs="华文仿宋" w:hint="eastAsia"/>
                <w:sz w:val="24"/>
                <w:szCs w:val="24"/>
              </w:rPr>
              <w:t>3</w:t>
            </w:r>
          </w:p>
        </w:tc>
      </w:tr>
    </w:tbl>
    <w:p w:rsidR="00547152" w:rsidRPr="00791ACB" w:rsidRDefault="00547152" w:rsidP="00791ACB">
      <w:pPr>
        <w:widowControl/>
        <w:jc w:val="left"/>
        <w:rPr>
          <w:rFonts w:ascii="仿宋_GB2312" w:eastAsia="仿宋_GB2312" w:hAnsi="黑体" w:cs="华文仿宋" w:hint="eastAsia"/>
          <w:sz w:val="32"/>
          <w:szCs w:val="32"/>
        </w:rPr>
      </w:pPr>
      <w:bookmarkStart w:id="0" w:name="_GoBack"/>
      <w:bookmarkEnd w:id="0"/>
    </w:p>
    <w:sectPr w:rsidR="00547152" w:rsidRPr="00791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B"/>
    <w:rsid w:val="00547152"/>
    <w:rsid w:val="0079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4FF6"/>
  <w15:chartTrackingRefBased/>
  <w15:docId w15:val="{EFFDEC99-1BFF-423E-9A53-B4610F5F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2019-06-06T06:12:00Z</dcterms:created>
  <dcterms:modified xsi:type="dcterms:W3CDTF">2019-06-06T06:14:00Z</dcterms:modified>
</cp:coreProperties>
</file>