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9849">
      <w:pPr>
        <w:snapToGrid w:val="0"/>
        <w:jc w:val="center"/>
        <w:rPr>
          <w:rFonts w:ascii="黑体" w:eastAsia="黑体"/>
          <w:sz w:val="32"/>
          <w:szCs w:val="32"/>
        </w:rPr>
      </w:pPr>
      <w:r>
        <w:rPr>
          <w:rFonts w:hint="eastAsia" w:ascii="黑体" w:eastAsia="黑体"/>
          <w:sz w:val="32"/>
          <w:szCs w:val="32"/>
        </w:rPr>
        <w:t>法学院校设奖学金和院设不可兼得奖学金评审规则</w:t>
      </w:r>
    </w:p>
    <w:p w14:paraId="1FF54DF8">
      <w:pPr>
        <w:snapToGrid w:val="0"/>
        <w:jc w:val="center"/>
        <w:rPr>
          <w:rFonts w:ascii="黑体" w:eastAsia="黑体"/>
          <w:sz w:val="32"/>
          <w:szCs w:val="32"/>
        </w:rPr>
      </w:pPr>
    </w:p>
    <w:p w14:paraId="1BE1C8AE">
      <w:pPr>
        <w:snapToGrid w:val="0"/>
        <w:spacing w:line="360" w:lineRule="auto"/>
        <w:ind w:firstLine="561"/>
        <w:rPr>
          <w:rFonts w:ascii="宋体" w:hAnsi="宋体"/>
          <w:sz w:val="24"/>
          <w:szCs w:val="24"/>
        </w:rPr>
      </w:pPr>
      <w:r>
        <w:rPr>
          <w:rFonts w:hint="eastAsia" w:ascii="宋体" w:hAnsi="宋体"/>
          <w:sz w:val="24"/>
          <w:szCs w:val="24"/>
        </w:rPr>
        <w:t>1、按照学生</w:t>
      </w:r>
      <w:r>
        <w:rPr>
          <w:rFonts w:hint="eastAsia" w:ascii="宋体" w:hAnsi="宋体"/>
          <w:b/>
          <w:sz w:val="24"/>
          <w:szCs w:val="24"/>
        </w:rPr>
        <w:t>素质综合测评成绩在年级或专业排名的百分位数（</w:t>
      </w:r>
      <w:r>
        <w:rPr>
          <w:rFonts w:hint="eastAsia" w:ascii="宋体" w:hAnsi="宋体"/>
          <w:sz w:val="24"/>
          <w:szCs w:val="24"/>
        </w:rPr>
        <w:t>e</w:t>
      </w:r>
      <w:r>
        <w:rPr>
          <w:rFonts w:ascii="宋体" w:hAnsi="宋体"/>
          <w:sz w:val="24"/>
          <w:szCs w:val="24"/>
        </w:rPr>
        <w:t>g:4/97=?%</w:t>
      </w:r>
      <w:r>
        <w:rPr>
          <w:rFonts w:hint="eastAsia" w:ascii="宋体" w:hAnsi="宋体"/>
          <w:sz w:val="24"/>
          <w:szCs w:val="24"/>
        </w:rPr>
        <w:t>、3/</w:t>
      </w:r>
      <w:r>
        <w:rPr>
          <w:rFonts w:ascii="宋体" w:hAnsi="宋体"/>
          <w:sz w:val="24"/>
          <w:szCs w:val="24"/>
        </w:rPr>
        <w:t>7=?%</w:t>
      </w:r>
      <w:r>
        <w:rPr>
          <w:rFonts w:hint="eastAsia" w:ascii="宋体" w:hAnsi="宋体"/>
          <w:sz w:val="24"/>
          <w:szCs w:val="24"/>
        </w:rPr>
        <w:t>……</w:t>
      </w:r>
      <w:r>
        <w:rPr>
          <w:rFonts w:hint="eastAsia" w:ascii="宋体" w:hAnsi="宋体"/>
          <w:b/>
          <w:sz w:val="24"/>
          <w:szCs w:val="24"/>
        </w:rPr>
        <w:t>）</w:t>
      </w:r>
      <w:r>
        <w:rPr>
          <w:rFonts w:hint="eastAsia" w:ascii="宋体" w:hAnsi="宋体"/>
          <w:sz w:val="24"/>
          <w:szCs w:val="24"/>
        </w:rPr>
        <w:t>和各年级分配名额，结合本人填报志愿，兼顾专业/方向平衡，进行评定。</w:t>
      </w:r>
    </w:p>
    <w:p w14:paraId="2A77A4D9">
      <w:pPr>
        <w:snapToGrid w:val="0"/>
        <w:spacing w:line="360" w:lineRule="auto"/>
        <w:ind w:firstLine="561"/>
        <w:rPr>
          <w:rFonts w:ascii="宋体" w:hAnsi="宋体"/>
          <w:sz w:val="24"/>
          <w:szCs w:val="24"/>
        </w:rPr>
      </w:pPr>
      <w:r>
        <w:rPr>
          <w:rFonts w:hint="eastAsia" w:ascii="宋体" w:hAnsi="宋体"/>
          <w:sz w:val="24"/>
          <w:szCs w:val="24"/>
        </w:rPr>
        <w:t>2、</w:t>
      </w:r>
      <w:r>
        <w:rPr>
          <w:rFonts w:hint="eastAsia" w:ascii="宋体" w:hAnsi="宋体"/>
          <w:b/>
          <w:sz w:val="24"/>
          <w:szCs w:val="24"/>
        </w:rPr>
        <w:t>志愿规则：</w:t>
      </w:r>
      <w:r>
        <w:rPr>
          <w:rFonts w:hint="eastAsia" w:ascii="宋体" w:hAnsi="宋体"/>
          <w:sz w:val="24"/>
          <w:szCs w:val="24"/>
        </w:rPr>
        <w:t>校设奖学金相较于院设奖学金而言，为更高级别的志愿，</w:t>
      </w:r>
      <w:r>
        <w:rPr>
          <w:rFonts w:hint="eastAsia" w:ascii="宋体" w:hAnsi="宋体"/>
          <w:color w:val="FF0000"/>
          <w:sz w:val="24"/>
          <w:szCs w:val="24"/>
        </w:rPr>
        <w:t>即</w:t>
      </w:r>
      <w:r>
        <w:rPr>
          <w:rFonts w:hint="eastAsia" w:ascii="宋体" w:hAnsi="宋体"/>
          <w:color w:val="FF0000"/>
          <w:sz w:val="24"/>
          <w:szCs w:val="24"/>
          <w:lang w:val="en-US" w:eastAsia="zh-CN"/>
        </w:rPr>
        <w:t>问卷</w:t>
      </w:r>
      <w:r>
        <w:rPr>
          <w:rFonts w:hint="eastAsia" w:ascii="宋体" w:hAnsi="宋体"/>
          <w:color w:val="FF0000"/>
          <w:sz w:val="24"/>
          <w:szCs w:val="24"/>
        </w:rPr>
        <w:t>志愿中只要有校设奖学金，即视为将校设奖学金作为当然第一志愿</w:t>
      </w:r>
      <w:r>
        <w:rPr>
          <w:rFonts w:hint="eastAsia" w:ascii="宋体" w:hAnsi="宋体"/>
          <w:sz w:val="24"/>
          <w:szCs w:val="24"/>
        </w:rPr>
        <w:t>。院设奖学金填报时须</w:t>
      </w:r>
      <w:r>
        <w:rPr>
          <w:rFonts w:hint="eastAsia" w:ascii="宋体" w:hAnsi="宋体"/>
          <w:sz w:val="24"/>
          <w:szCs w:val="24"/>
          <w:lang w:val="en-US" w:eastAsia="zh-CN"/>
        </w:rPr>
        <w:t>选择</w:t>
      </w:r>
      <w:r>
        <w:rPr>
          <w:rFonts w:hint="eastAsia" w:ascii="宋体" w:hAnsi="宋体"/>
          <w:sz w:val="24"/>
          <w:szCs w:val="24"/>
        </w:rPr>
        <w:t>具体奖学金名称。</w:t>
      </w:r>
    </w:p>
    <w:p w14:paraId="08711D3C">
      <w:pPr>
        <w:snapToGrid w:val="0"/>
        <w:spacing w:line="360" w:lineRule="auto"/>
        <w:ind w:firstLine="561"/>
        <w:rPr>
          <w:rFonts w:ascii="宋体" w:hAnsi="宋体"/>
          <w:sz w:val="24"/>
          <w:szCs w:val="24"/>
        </w:rPr>
      </w:pPr>
      <w:r>
        <w:rPr>
          <w:rFonts w:hint="eastAsia" w:ascii="宋体" w:hAnsi="宋体"/>
          <w:sz w:val="24"/>
          <w:szCs w:val="24"/>
        </w:rPr>
        <w:t>五四奖学金作为</w:t>
      </w:r>
      <w:r>
        <w:rPr>
          <w:rFonts w:hint="eastAsia" w:ascii="宋体" w:hAnsi="宋体"/>
          <w:sz w:val="24"/>
          <w:szCs w:val="24"/>
          <w:lang w:val="en-US" w:eastAsia="zh-CN"/>
        </w:rPr>
        <w:t>校设</w:t>
      </w:r>
      <w:r>
        <w:rPr>
          <w:rFonts w:ascii="宋体" w:hAnsi="宋体"/>
          <w:sz w:val="24"/>
          <w:szCs w:val="24"/>
        </w:rPr>
        <w:t>最高荣誉</w:t>
      </w:r>
      <w:r>
        <w:rPr>
          <w:rFonts w:hint="eastAsia" w:ascii="宋体" w:hAnsi="宋体"/>
          <w:sz w:val="24"/>
          <w:szCs w:val="24"/>
          <w:lang w:val="en-US" w:eastAsia="zh-CN"/>
        </w:rPr>
        <w:t>奖学金</w:t>
      </w:r>
      <w:r>
        <w:rPr>
          <w:rFonts w:ascii="宋体" w:hAnsi="宋体"/>
          <w:sz w:val="24"/>
          <w:szCs w:val="24"/>
        </w:rPr>
        <w:t>，</w:t>
      </w:r>
      <w:r>
        <w:rPr>
          <w:rFonts w:hint="eastAsia" w:ascii="宋体" w:hAnsi="宋体"/>
          <w:sz w:val="24"/>
          <w:szCs w:val="24"/>
        </w:rPr>
        <w:t>先</w:t>
      </w:r>
      <w:r>
        <w:rPr>
          <w:rFonts w:ascii="宋体" w:hAnsi="宋体"/>
          <w:sz w:val="24"/>
          <w:szCs w:val="24"/>
        </w:rPr>
        <w:t>于其他奖学金进行</w:t>
      </w:r>
      <w:r>
        <w:rPr>
          <w:rFonts w:hint="eastAsia" w:ascii="宋体" w:hAnsi="宋体"/>
          <w:sz w:val="24"/>
          <w:szCs w:val="24"/>
        </w:rPr>
        <w:t>单独</w:t>
      </w:r>
      <w:r>
        <w:rPr>
          <w:rFonts w:ascii="宋体" w:hAnsi="宋体"/>
          <w:sz w:val="24"/>
          <w:szCs w:val="24"/>
        </w:rPr>
        <w:t>评审，因此</w:t>
      </w:r>
      <w:r>
        <w:rPr>
          <w:rFonts w:hint="eastAsia" w:ascii="宋体" w:hAnsi="宋体"/>
          <w:sz w:val="24"/>
          <w:szCs w:val="24"/>
        </w:rPr>
        <w:t>不在</w:t>
      </w:r>
      <w:r>
        <w:rPr>
          <w:rFonts w:ascii="宋体" w:hAnsi="宋体"/>
          <w:sz w:val="24"/>
          <w:szCs w:val="24"/>
        </w:rPr>
        <w:t>志愿排序范围之内</w:t>
      </w:r>
      <w:r>
        <w:rPr>
          <w:rFonts w:hint="eastAsia" w:ascii="宋体" w:hAnsi="宋体"/>
          <w:sz w:val="24"/>
          <w:szCs w:val="24"/>
        </w:rPr>
        <w:t>。若申请</w:t>
      </w:r>
      <w:r>
        <w:rPr>
          <w:rFonts w:ascii="宋体" w:hAnsi="宋体"/>
          <w:sz w:val="24"/>
          <w:szCs w:val="24"/>
        </w:rPr>
        <w:t>五四奖学金</w:t>
      </w:r>
      <w:r>
        <w:rPr>
          <w:rFonts w:hint="eastAsia" w:ascii="宋体" w:hAnsi="宋体"/>
          <w:sz w:val="24"/>
          <w:szCs w:val="24"/>
        </w:rPr>
        <w:t>并获奖</w:t>
      </w:r>
      <w:r>
        <w:rPr>
          <w:rFonts w:ascii="宋体" w:hAnsi="宋体"/>
          <w:sz w:val="24"/>
          <w:szCs w:val="24"/>
        </w:rPr>
        <w:t>，则不再参与</w:t>
      </w:r>
      <w:r>
        <w:rPr>
          <w:rFonts w:hint="eastAsia" w:ascii="宋体" w:hAnsi="宋体"/>
          <w:sz w:val="24"/>
          <w:szCs w:val="24"/>
        </w:rPr>
        <w:t>后续</w:t>
      </w:r>
      <w:r>
        <w:rPr>
          <w:rFonts w:ascii="宋体" w:hAnsi="宋体"/>
          <w:sz w:val="24"/>
          <w:szCs w:val="24"/>
        </w:rPr>
        <w:t>其他奖学金的评选</w:t>
      </w:r>
      <w:r>
        <w:rPr>
          <w:rFonts w:hint="eastAsia" w:ascii="宋体" w:hAnsi="宋体"/>
          <w:sz w:val="24"/>
          <w:szCs w:val="24"/>
        </w:rPr>
        <w:t>；</w:t>
      </w:r>
      <w:r>
        <w:rPr>
          <w:rFonts w:ascii="宋体" w:hAnsi="宋体"/>
          <w:sz w:val="24"/>
          <w:szCs w:val="24"/>
        </w:rPr>
        <w:t>若申请五四奖学金但未获奖</w:t>
      </w:r>
      <w:r>
        <w:rPr>
          <w:rFonts w:hint="eastAsia" w:ascii="宋体" w:hAnsi="宋体"/>
          <w:sz w:val="24"/>
          <w:szCs w:val="24"/>
        </w:rPr>
        <w:t>，仍可</w:t>
      </w:r>
      <w:r>
        <w:rPr>
          <w:rFonts w:ascii="宋体" w:hAnsi="宋体"/>
          <w:sz w:val="24"/>
          <w:szCs w:val="24"/>
        </w:rPr>
        <w:t>正常参与其他奖学金的评选。</w:t>
      </w:r>
    </w:p>
    <w:p w14:paraId="124E0997">
      <w:pPr>
        <w:snapToGrid w:val="0"/>
        <w:spacing w:line="360" w:lineRule="auto"/>
        <w:ind w:firstLine="561"/>
        <w:rPr>
          <w:rFonts w:ascii="宋体" w:hAnsi="宋体"/>
          <w:sz w:val="24"/>
          <w:szCs w:val="24"/>
        </w:rPr>
      </w:pPr>
      <w:r>
        <w:rPr>
          <w:rFonts w:hint="eastAsia" w:ascii="宋体" w:hAnsi="宋体"/>
          <w:sz w:val="24"/>
          <w:szCs w:val="24"/>
        </w:rPr>
        <w:t>可能存在的</w:t>
      </w:r>
      <w:r>
        <w:rPr>
          <w:rFonts w:hint="eastAsia" w:ascii="宋体" w:hAnsi="宋体"/>
          <w:color w:val="FF0000"/>
          <w:sz w:val="24"/>
          <w:szCs w:val="24"/>
        </w:rPr>
        <w:t>风险：</w:t>
      </w:r>
      <w:r>
        <w:rPr>
          <w:rFonts w:hint="eastAsia" w:ascii="宋体" w:hAnsi="宋体"/>
          <w:sz w:val="24"/>
          <w:szCs w:val="24"/>
        </w:rPr>
        <w:t>某一同学排名中等，同时填报了校设奖学金和院设余超奖学金、院设85校友奖学金。那么由于校设奖学金为第一志愿，其极有可能只能评上奖励金额较低的</w:t>
      </w:r>
      <w:r>
        <w:rPr>
          <w:rFonts w:hint="eastAsia" w:ascii="宋体" w:hAnsi="宋体"/>
          <w:sz w:val="24"/>
          <w:szCs w:val="24"/>
          <w:lang w:val="en-US" w:eastAsia="zh-CN"/>
        </w:rPr>
        <w:t>校设</w:t>
      </w:r>
      <w:r>
        <w:rPr>
          <w:rFonts w:hint="eastAsia" w:ascii="宋体" w:hAnsi="宋体"/>
          <w:sz w:val="24"/>
          <w:szCs w:val="24"/>
        </w:rPr>
        <w:t>奖学金，从而没有机会参评院设奖学金。</w:t>
      </w:r>
    </w:p>
    <w:p w14:paraId="0BA636A3">
      <w:pPr>
        <w:snapToGrid w:val="0"/>
        <w:spacing w:line="360" w:lineRule="auto"/>
        <w:ind w:firstLine="561"/>
        <w:rPr>
          <w:rFonts w:ascii="宋体" w:hAnsi="宋体"/>
          <w:sz w:val="24"/>
          <w:szCs w:val="24"/>
        </w:rPr>
      </w:pPr>
      <w:r>
        <w:rPr>
          <w:rFonts w:hint="eastAsia" w:ascii="宋体" w:hAnsi="宋体"/>
          <w:sz w:val="24"/>
          <w:szCs w:val="24"/>
        </w:rPr>
        <w:t>3、</w:t>
      </w:r>
      <w:r>
        <w:rPr>
          <w:rFonts w:hint="eastAsia" w:ascii="宋体" w:hAnsi="宋体"/>
          <w:b/>
          <w:sz w:val="24"/>
          <w:szCs w:val="24"/>
        </w:rPr>
        <w:t>评定顺序</w:t>
      </w:r>
      <w:r>
        <w:rPr>
          <w:rFonts w:hint="eastAsia" w:ascii="宋体" w:hAnsi="宋体"/>
          <w:sz w:val="24"/>
          <w:szCs w:val="24"/>
        </w:rPr>
        <w:t>为，先</w:t>
      </w:r>
      <w:r>
        <w:rPr>
          <w:rFonts w:hint="eastAsia" w:ascii="宋体" w:hAnsi="宋体"/>
          <w:sz w:val="24"/>
          <w:szCs w:val="24"/>
          <w:lang w:val="en-US" w:eastAsia="zh-CN"/>
        </w:rPr>
        <w:t>单独</w:t>
      </w:r>
      <w:r>
        <w:rPr>
          <w:rFonts w:hint="eastAsia" w:ascii="宋体" w:hAnsi="宋体"/>
          <w:sz w:val="24"/>
          <w:szCs w:val="24"/>
        </w:rPr>
        <w:t>评定</w:t>
      </w:r>
      <w:r>
        <w:rPr>
          <w:rFonts w:hint="eastAsia" w:ascii="宋体" w:hAnsi="宋体"/>
          <w:sz w:val="24"/>
          <w:szCs w:val="24"/>
          <w:lang w:val="en-US" w:eastAsia="zh-CN"/>
        </w:rPr>
        <w:t>五四奖学金，再评定其它</w:t>
      </w:r>
      <w:r>
        <w:rPr>
          <w:rFonts w:hint="eastAsia" w:ascii="宋体" w:hAnsi="宋体"/>
          <w:sz w:val="24"/>
          <w:szCs w:val="24"/>
        </w:rPr>
        <w:t>校设奖学金</w:t>
      </w:r>
      <w:r>
        <w:rPr>
          <w:rFonts w:hint="eastAsia" w:ascii="宋体" w:hAnsi="宋体"/>
          <w:sz w:val="24"/>
          <w:szCs w:val="24"/>
          <w:lang w:eastAsia="zh-CN"/>
        </w:rPr>
        <w:t>，</w:t>
      </w:r>
      <w:r>
        <w:rPr>
          <w:rFonts w:hint="eastAsia" w:ascii="宋体" w:hAnsi="宋体"/>
          <w:sz w:val="24"/>
          <w:szCs w:val="24"/>
          <w:lang w:val="en-US" w:eastAsia="zh-CN"/>
        </w:rPr>
        <w:t>最后评定院设不可兼得奖学金</w:t>
      </w:r>
      <w:r>
        <w:rPr>
          <w:rFonts w:hint="eastAsia" w:ascii="宋体" w:hAnsi="宋体"/>
          <w:sz w:val="24"/>
          <w:szCs w:val="24"/>
          <w:lang w:eastAsia="zh-CN"/>
        </w:rPr>
        <w:t>。</w:t>
      </w:r>
      <w:r>
        <w:rPr>
          <w:rFonts w:hint="eastAsia" w:ascii="宋体" w:hAnsi="宋体"/>
          <w:sz w:val="24"/>
          <w:szCs w:val="24"/>
          <w:lang w:val="en-US" w:eastAsia="zh-CN"/>
        </w:rPr>
        <w:t>评定校设奖学金时，</w:t>
      </w:r>
      <w:r>
        <w:rPr>
          <w:rFonts w:hint="eastAsia" w:ascii="宋体" w:hAnsi="宋体"/>
          <w:sz w:val="24"/>
          <w:szCs w:val="24"/>
        </w:rPr>
        <w:t>即将志愿中</w:t>
      </w:r>
      <w:r>
        <w:rPr>
          <w:rFonts w:hint="eastAsia" w:ascii="宋体" w:hAnsi="宋体"/>
          <w:sz w:val="24"/>
          <w:szCs w:val="24"/>
          <w:lang w:val="en-US" w:eastAsia="zh-CN"/>
        </w:rPr>
        <w:t>所有</w:t>
      </w:r>
      <w:r>
        <w:rPr>
          <w:rFonts w:hint="eastAsia" w:ascii="宋体" w:hAnsi="宋体"/>
          <w:sz w:val="24"/>
          <w:szCs w:val="24"/>
        </w:rPr>
        <w:t>申报了校设奖学金的同学纳入</w:t>
      </w:r>
      <w:r>
        <w:rPr>
          <w:rFonts w:hint="eastAsia" w:ascii="宋体" w:hAnsi="宋体"/>
          <w:sz w:val="24"/>
          <w:szCs w:val="24"/>
          <w:lang w:val="en-US" w:eastAsia="zh-CN"/>
        </w:rPr>
        <w:t>同</w:t>
      </w:r>
      <w:r>
        <w:rPr>
          <w:rFonts w:hint="eastAsia" w:ascii="宋体" w:hAnsi="宋体"/>
          <w:sz w:val="24"/>
          <w:szCs w:val="24"/>
        </w:rPr>
        <w:t>一轮评定范围，</w:t>
      </w:r>
      <w:r>
        <w:rPr>
          <w:rFonts w:hint="eastAsia" w:ascii="宋体" w:hAnsi="宋体"/>
          <w:sz w:val="24"/>
          <w:szCs w:val="24"/>
          <w:lang w:val="en-US" w:eastAsia="zh-CN"/>
        </w:rPr>
        <w:t>参照</w:t>
      </w:r>
      <w:r>
        <w:rPr>
          <w:rFonts w:hint="eastAsia" w:ascii="宋体" w:hAnsi="宋体"/>
          <w:sz w:val="24"/>
          <w:szCs w:val="24"/>
        </w:rPr>
        <w:t>素质综合测评成绩排名百分位数排序，</w:t>
      </w:r>
      <w:r>
        <w:rPr>
          <w:rFonts w:hint="eastAsia" w:ascii="宋体" w:hAnsi="宋体"/>
          <w:sz w:val="24"/>
          <w:szCs w:val="24"/>
          <w:lang w:val="en-US" w:eastAsia="zh-CN"/>
        </w:rPr>
        <w:t>奖学金要求、</w:t>
      </w:r>
      <w:r>
        <w:rPr>
          <w:rFonts w:hint="eastAsia" w:ascii="宋体" w:hAnsi="宋体"/>
          <w:sz w:val="24"/>
          <w:szCs w:val="24"/>
        </w:rPr>
        <w:t>依据各年级的分配名额</w:t>
      </w:r>
      <w:r>
        <w:rPr>
          <w:rFonts w:hint="eastAsia" w:ascii="宋体" w:hAnsi="宋体"/>
          <w:sz w:val="24"/>
          <w:szCs w:val="24"/>
          <w:lang w:val="en-US" w:eastAsia="zh-CN"/>
        </w:rPr>
        <w:t>等因素</w:t>
      </w:r>
      <w:r>
        <w:rPr>
          <w:rFonts w:hint="eastAsia" w:ascii="宋体" w:hAnsi="宋体"/>
          <w:sz w:val="24"/>
          <w:szCs w:val="24"/>
        </w:rPr>
        <w:t>依次评定，同时</w:t>
      </w:r>
      <w:r>
        <w:rPr>
          <w:rFonts w:hint="eastAsia" w:ascii="宋体" w:hAnsi="宋体"/>
          <w:color w:val="FF0000"/>
          <w:sz w:val="24"/>
          <w:szCs w:val="24"/>
        </w:rPr>
        <w:t>兼顾各年级和专业/方向间的平衡</w:t>
      </w:r>
      <w:r>
        <w:rPr>
          <w:rFonts w:hint="eastAsia" w:ascii="宋体" w:hAnsi="宋体"/>
          <w:sz w:val="24"/>
          <w:szCs w:val="24"/>
        </w:rPr>
        <w:t>。</w:t>
      </w:r>
    </w:p>
    <w:p w14:paraId="2A17C0D5">
      <w:pPr>
        <w:snapToGrid w:val="0"/>
        <w:spacing w:line="360" w:lineRule="auto"/>
        <w:ind w:firstLine="561"/>
        <w:rPr>
          <w:rFonts w:ascii="宋体" w:hAnsi="宋体"/>
          <w:sz w:val="24"/>
          <w:szCs w:val="24"/>
        </w:rPr>
      </w:pPr>
      <w:r>
        <w:rPr>
          <w:rFonts w:hint="eastAsia" w:ascii="宋体" w:hAnsi="宋体"/>
          <w:sz w:val="24"/>
          <w:szCs w:val="24"/>
        </w:rPr>
        <w:t>未评上</w:t>
      </w:r>
      <w:r>
        <w:rPr>
          <w:rFonts w:hint="eastAsia" w:ascii="宋体" w:hAnsi="宋体"/>
          <w:sz w:val="24"/>
          <w:szCs w:val="24"/>
          <w:lang w:val="en-US" w:eastAsia="zh-CN"/>
        </w:rPr>
        <w:t>校设奖学金</w:t>
      </w:r>
      <w:r>
        <w:rPr>
          <w:rFonts w:hint="eastAsia" w:ascii="宋体" w:hAnsi="宋体"/>
          <w:sz w:val="24"/>
          <w:szCs w:val="24"/>
        </w:rPr>
        <w:t>的同学</w:t>
      </w:r>
      <w:r>
        <w:rPr>
          <w:rFonts w:hint="eastAsia" w:ascii="宋体" w:hAnsi="宋体"/>
          <w:sz w:val="24"/>
          <w:szCs w:val="24"/>
          <w:lang w:eastAsia="zh-CN"/>
        </w:rPr>
        <w:t>，</w:t>
      </w:r>
      <w:r>
        <w:rPr>
          <w:rFonts w:hint="eastAsia" w:ascii="宋体" w:hAnsi="宋体"/>
          <w:sz w:val="24"/>
          <w:szCs w:val="24"/>
        </w:rPr>
        <w:t>以其院设奖学金志愿</w:t>
      </w:r>
      <w:r>
        <w:rPr>
          <w:rFonts w:hint="eastAsia" w:ascii="宋体" w:hAnsi="宋体"/>
          <w:sz w:val="24"/>
          <w:szCs w:val="24"/>
          <w:lang w:val="en-US" w:eastAsia="zh-CN"/>
        </w:rPr>
        <w:t>及素质综合测评成绩排名百分位数排序、</w:t>
      </w:r>
      <w:r>
        <w:rPr>
          <w:rFonts w:hint="eastAsia" w:ascii="宋体" w:hAnsi="宋体"/>
          <w:sz w:val="24"/>
          <w:szCs w:val="24"/>
        </w:rPr>
        <w:t>奖学金要求</w:t>
      </w:r>
      <w:r>
        <w:rPr>
          <w:rFonts w:hint="eastAsia" w:ascii="宋体" w:hAnsi="宋体"/>
          <w:sz w:val="24"/>
          <w:szCs w:val="24"/>
          <w:lang w:eastAsia="zh-CN"/>
        </w:rPr>
        <w:t>、</w:t>
      </w:r>
      <w:r>
        <w:rPr>
          <w:rFonts w:hint="eastAsia" w:ascii="宋体" w:hAnsi="宋体"/>
          <w:sz w:val="24"/>
          <w:szCs w:val="24"/>
          <w:lang w:val="en-US" w:eastAsia="zh-CN"/>
        </w:rPr>
        <w:t>各年级分配名额等因素依次进行评定</w:t>
      </w:r>
      <w:r>
        <w:rPr>
          <w:rFonts w:hint="eastAsia" w:ascii="宋体" w:hAnsi="宋体"/>
          <w:sz w:val="24"/>
          <w:szCs w:val="24"/>
        </w:rPr>
        <w:t>。当校设奖学金评定过程中出现志愿少于名额，即名额出现空缺时，则剩余名额作为调剂名额，待院设奖学金评定结束后，在剩余未评上任何奖学金的同学中以素质</w:t>
      </w:r>
      <w:r>
        <w:rPr>
          <w:rFonts w:hint="eastAsia" w:ascii="宋体" w:hAnsi="宋体"/>
          <w:sz w:val="24"/>
          <w:szCs w:val="24"/>
          <w:lang w:val="en-US" w:eastAsia="zh-CN"/>
        </w:rPr>
        <w:t>综合</w:t>
      </w:r>
      <w:r>
        <w:rPr>
          <w:rFonts w:hint="eastAsia" w:ascii="宋体" w:hAnsi="宋体"/>
          <w:sz w:val="24"/>
          <w:szCs w:val="24"/>
        </w:rPr>
        <w:t>测评成绩分年级排序，依据名额依次调剂评定，注明</w:t>
      </w:r>
      <w:r>
        <w:rPr>
          <w:rFonts w:hint="eastAsia" w:ascii="宋体" w:hAnsi="宋体"/>
          <w:color w:val="FF0000"/>
          <w:sz w:val="24"/>
          <w:szCs w:val="24"/>
        </w:rPr>
        <w:t>不服从调剂</w:t>
      </w:r>
      <w:r>
        <w:rPr>
          <w:rFonts w:hint="eastAsia" w:ascii="宋体" w:hAnsi="宋体"/>
          <w:sz w:val="24"/>
          <w:szCs w:val="24"/>
        </w:rPr>
        <w:t>的同学</w:t>
      </w:r>
      <w:r>
        <w:rPr>
          <w:rFonts w:hint="eastAsia" w:ascii="宋体" w:hAnsi="宋体"/>
          <w:color w:val="FF0000"/>
          <w:sz w:val="24"/>
          <w:szCs w:val="24"/>
        </w:rPr>
        <w:t>不参与</w:t>
      </w:r>
      <w:r>
        <w:rPr>
          <w:rFonts w:hint="eastAsia" w:ascii="宋体" w:hAnsi="宋体"/>
          <w:sz w:val="24"/>
          <w:szCs w:val="24"/>
        </w:rPr>
        <w:t>。因此，无特殊</w:t>
      </w:r>
      <w:r>
        <w:rPr>
          <w:rFonts w:ascii="宋体" w:hAnsi="宋体"/>
          <w:sz w:val="24"/>
          <w:szCs w:val="24"/>
        </w:rPr>
        <w:t>情况，</w:t>
      </w:r>
      <w:r>
        <w:rPr>
          <w:rFonts w:ascii="宋体" w:hAnsi="宋体"/>
          <w:color w:val="FF0000"/>
          <w:sz w:val="24"/>
          <w:szCs w:val="24"/>
        </w:rPr>
        <w:t>建议</w:t>
      </w:r>
      <w:r>
        <w:rPr>
          <w:rFonts w:hint="eastAsia" w:ascii="宋体" w:hAnsi="宋体"/>
          <w:color w:val="FF0000"/>
          <w:sz w:val="24"/>
          <w:szCs w:val="24"/>
        </w:rPr>
        <w:t>同学们</w:t>
      </w:r>
      <w:r>
        <w:rPr>
          <w:rFonts w:ascii="宋体" w:hAnsi="宋体"/>
          <w:color w:val="FF0000"/>
          <w:sz w:val="24"/>
          <w:szCs w:val="24"/>
        </w:rPr>
        <w:t>服从调剂</w:t>
      </w:r>
      <w:r>
        <w:rPr>
          <w:rFonts w:ascii="宋体" w:hAnsi="宋体"/>
          <w:sz w:val="24"/>
          <w:szCs w:val="24"/>
        </w:rPr>
        <w:t>。</w:t>
      </w:r>
    </w:p>
    <w:p w14:paraId="00FE0604">
      <w:pPr>
        <w:snapToGrid w:val="0"/>
        <w:spacing w:line="360" w:lineRule="auto"/>
        <w:ind w:firstLine="561"/>
        <w:rPr>
          <w:rFonts w:ascii="宋体" w:hAnsi="宋体"/>
          <w:sz w:val="24"/>
          <w:szCs w:val="24"/>
        </w:rPr>
      </w:pPr>
      <w:r>
        <w:rPr>
          <w:rFonts w:hint="eastAsia" w:ascii="宋体" w:hAnsi="宋体"/>
          <w:sz w:val="24"/>
          <w:szCs w:val="24"/>
        </w:rPr>
        <w:t>4、院设</w:t>
      </w:r>
      <w:r>
        <w:rPr>
          <w:rFonts w:hint="eastAsia" w:ascii="宋体" w:hAnsi="宋体"/>
          <w:sz w:val="24"/>
          <w:szCs w:val="24"/>
          <w:lang w:val="en-US" w:eastAsia="zh-CN"/>
        </w:rPr>
        <w:t>不可兼得</w:t>
      </w:r>
      <w:r>
        <w:rPr>
          <w:rFonts w:hint="eastAsia" w:ascii="宋体" w:hAnsi="宋体"/>
          <w:sz w:val="24"/>
          <w:szCs w:val="24"/>
        </w:rPr>
        <w:t>奖学金评定时，依据申报志愿人选和奖学金要求，以满足奖学金要求最优为原则，保证年级间名额平衡，在此基础上再尽量考虑专业/方向间平衡。</w:t>
      </w:r>
    </w:p>
    <w:p w14:paraId="5D4B293D">
      <w:pPr>
        <w:snapToGrid w:val="0"/>
        <w:spacing w:line="360" w:lineRule="auto"/>
        <w:ind w:firstLine="561"/>
      </w:pPr>
      <w:r>
        <w:rPr>
          <w:rFonts w:hint="eastAsia" w:ascii="宋体" w:hAnsi="宋体"/>
          <w:sz w:val="24"/>
          <w:szCs w:val="24"/>
        </w:rPr>
        <w:t>5、如无特别说明，各项院设奖学金申请条件中提到的排名要求均指素质综合测评成绩排名。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MzY2MWM3YTgzODI0Zjg3MjE0OWFhNzBjNzY4OTIifQ=="/>
  </w:docVars>
  <w:rsids>
    <w:rsidRoot w:val="00A7382D"/>
    <w:rsid w:val="002272FB"/>
    <w:rsid w:val="00263157"/>
    <w:rsid w:val="002A150B"/>
    <w:rsid w:val="003533A5"/>
    <w:rsid w:val="00415E25"/>
    <w:rsid w:val="00447927"/>
    <w:rsid w:val="005C0F31"/>
    <w:rsid w:val="0060756F"/>
    <w:rsid w:val="00924AB5"/>
    <w:rsid w:val="009D379A"/>
    <w:rsid w:val="00A7382D"/>
    <w:rsid w:val="00B9188B"/>
    <w:rsid w:val="00D05BFD"/>
    <w:rsid w:val="00FC6F04"/>
    <w:rsid w:val="08D67656"/>
    <w:rsid w:val="0FFD61A4"/>
    <w:rsid w:val="1E516B37"/>
    <w:rsid w:val="27211B24"/>
    <w:rsid w:val="36590B8A"/>
    <w:rsid w:val="4C024DF0"/>
    <w:rsid w:val="6501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kern w:val="2"/>
      <w:sz w:val="18"/>
      <w:szCs w:val="18"/>
    </w:rPr>
  </w:style>
  <w:style w:type="character" w:customStyle="1" w:styleId="7">
    <w:name w:val="页脚 字符"/>
    <w:basedOn w:val="5"/>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791</Words>
  <Characters>806</Characters>
  <Lines>5</Lines>
  <Paragraphs>1</Paragraphs>
  <TotalTime>11</TotalTime>
  <ScaleCrop>false</ScaleCrop>
  <LinksUpToDate>false</LinksUpToDate>
  <CharactersWithSpaces>806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2015-09-30T04:20:00Z</dcterms:created>
  <dc:creator>李婧一</dc:creator>
  <cp:lastModifiedBy>WPS_1695550283</cp:lastModifiedBy>
  <dcterms:modified xsi:type="dcterms:W3CDTF">2024-11-12T08:31:22Z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E44407C6EC9946AABA5C2896502CC2BA_13</vt:lpwstr>
  </property>
</Properties>
</file>